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603" w:rsidRPr="00AF2C7C" w:rsidRDefault="00643603" w:rsidP="00AF2C7C">
      <w:pPr>
        <w:pStyle w:val="a9"/>
        <w:jc w:val="both"/>
        <w:rPr>
          <w:rFonts w:ascii="Times New Roman" w:hAnsi="Times New Roman"/>
          <w:sz w:val="28"/>
          <w:szCs w:val="28"/>
          <w:shd w:val="clear" w:color="auto" w:fill="FFFFFF"/>
        </w:rPr>
      </w:pPr>
    </w:p>
    <w:p w:rsidR="00DE294D" w:rsidRPr="00AF2C7C" w:rsidRDefault="00DE294D" w:rsidP="00005466">
      <w:pPr>
        <w:pStyle w:val="a9"/>
        <w:jc w:val="center"/>
        <w:rPr>
          <w:rFonts w:ascii="Times New Roman" w:hAnsi="Times New Roman"/>
          <w:sz w:val="28"/>
          <w:szCs w:val="28"/>
        </w:rPr>
      </w:pPr>
      <w:r w:rsidRPr="00AF2C7C">
        <w:rPr>
          <w:rFonts w:ascii="Times New Roman" w:hAnsi="Times New Roman"/>
          <w:sz w:val="28"/>
          <w:szCs w:val="28"/>
        </w:rPr>
        <w:t>ДОГОВІР</w:t>
      </w:r>
      <w:r w:rsidRPr="00AF2C7C">
        <w:rPr>
          <w:rFonts w:ascii="Times New Roman" w:hAnsi="Times New Roman"/>
          <w:sz w:val="28"/>
          <w:szCs w:val="28"/>
        </w:rPr>
        <w:br/>
        <w:t>з власником (користувачем) будівлі (приміщення у будівлі)</w:t>
      </w:r>
      <w:r w:rsidRPr="00AF2C7C">
        <w:rPr>
          <w:rFonts w:ascii="Times New Roman" w:hAnsi="Times New Roman"/>
          <w:sz w:val="28"/>
          <w:szCs w:val="28"/>
        </w:rPr>
        <w:br/>
        <w:t>про надання послуг з централізованого водопостачання та централізованого водовідведення</w:t>
      </w:r>
    </w:p>
    <w:p w:rsidR="00005466" w:rsidRDefault="00AA1836" w:rsidP="00AF2C7C">
      <w:pPr>
        <w:pStyle w:val="a9"/>
        <w:jc w:val="both"/>
        <w:rPr>
          <w:rFonts w:ascii="Times New Roman" w:hAnsi="Times New Roman"/>
          <w:sz w:val="28"/>
          <w:szCs w:val="28"/>
        </w:rPr>
      </w:pPr>
      <w:r w:rsidRPr="00AF2C7C">
        <w:rPr>
          <w:rFonts w:ascii="Times New Roman" w:hAnsi="Times New Roman"/>
          <w:sz w:val="28"/>
          <w:szCs w:val="28"/>
        </w:rPr>
        <w:t>м. Могилів – Подільський                                                  ___ ________________ 2024 р.</w:t>
      </w:r>
      <w:r w:rsidR="00DE294D" w:rsidRPr="00AF2C7C">
        <w:rPr>
          <w:rFonts w:ascii="Times New Roman" w:hAnsi="Times New Roman"/>
          <w:sz w:val="28"/>
          <w:szCs w:val="28"/>
        </w:rPr>
        <w:t xml:space="preserve">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        </w:t>
      </w:r>
    </w:p>
    <w:p w:rsidR="00AA1836" w:rsidRPr="00AF2C7C" w:rsidRDefault="00AA1836" w:rsidP="00AF2C7C">
      <w:pPr>
        <w:pStyle w:val="a9"/>
        <w:jc w:val="both"/>
        <w:rPr>
          <w:rFonts w:ascii="Times New Roman" w:hAnsi="Times New Roman"/>
          <w:sz w:val="28"/>
          <w:szCs w:val="28"/>
        </w:rPr>
      </w:pPr>
      <w:r w:rsidRPr="00005466">
        <w:rPr>
          <w:rFonts w:ascii="Times New Roman" w:hAnsi="Times New Roman"/>
          <w:b/>
          <w:sz w:val="28"/>
          <w:szCs w:val="28"/>
        </w:rPr>
        <w:t>Могилів – Подільське міське комунальне підприємство «ВОДОКАНАЛ»</w:t>
      </w:r>
      <w:r w:rsidRPr="00AF2C7C">
        <w:rPr>
          <w:rFonts w:ascii="Times New Roman" w:hAnsi="Times New Roman"/>
          <w:sz w:val="28"/>
          <w:szCs w:val="28"/>
        </w:rPr>
        <w:t xml:space="preserve"> (далі – Виконавець) в особі   директора Рибака Сергія Тимофійовича, що діє на підставі статуту, з однієї сторони, та _________________________________ (найменування юридичної особи або прізвище, ім’я, по батькові  (за наявності) фізичної особи) (надалі-споживач) з іншої сторони (далі - сторони), уклали цей договір про таке. </w:t>
      </w:r>
    </w:p>
    <w:p w:rsidR="00DE294D" w:rsidRPr="00005466" w:rsidRDefault="00DE294D" w:rsidP="00005466">
      <w:pPr>
        <w:pStyle w:val="a9"/>
        <w:jc w:val="center"/>
        <w:rPr>
          <w:rFonts w:ascii="Times New Roman" w:hAnsi="Times New Roman"/>
          <w:b/>
          <w:sz w:val="28"/>
          <w:szCs w:val="28"/>
        </w:rPr>
      </w:pPr>
      <w:r w:rsidRPr="00005466">
        <w:rPr>
          <w:rFonts w:ascii="Times New Roman" w:hAnsi="Times New Roman"/>
          <w:b/>
          <w:sz w:val="28"/>
          <w:szCs w:val="28"/>
        </w:rPr>
        <w:t>Предмет договору та перелік послуг</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 Виконавець зобов’язується надавати споживачу послуги з централізованого водопостачання та централізованого водовідведення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До якості послуг встановлено такі вимоги:</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shd w:val="clear" w:color="auto" w:fill="FFFFFF"/>
        </w:rPr>
        <w:t xml:space="preserve">склад і якість питної води повинні відповідати вимогам державних санітарних норм і правил </w:t>
      </w:r>
      <w:r w:rsidRPr="00AF2C7C">
        <w:rPr>
          <w:rFonts w:ascii="Times New Roman" w:hAnsi="Times New Roman"/>
          <w:sz w:val="28"/>
          <w:szCs w:val="28"/>
          <w:lang w:eastAsia="uk-UA"/>
        </w:rPr>
        <w:t>на питну воду</w:t>
      </w:r>
      <w:r w:rsidRPr="00AF2C7C">
        <w:rPr>
          <w:rFonts w:ascii="Times New Roman" w:hAnsi="Times New Roman"/>
          <w:sz w:val="28"/>
          <w:szCs w:val="28"/>
        </w:rPr>
        <w:t>;</w:t>
      </w:r>
    </w:p>
    <w:p w:rsidR="00AA1836" w:rsidRPr="00AF2C7C" w:rsidRDefault="00DE294D" w:rsidP="00AF2C7C">
      <w:pPr>
        <w:pStyle w:val="a9"/>
        <w:jc w:val="both"/>
        <w:rPr>
          <w:rFonts w:ascii="Times New Roman" w:hAnsi="Times New Roman"/>
          <w:sz w:val="28"/>
          <w:szCs w:val="28"/>
          <w:shd w:val="clear" w:color="auto" w:fill="FFFFFF"/>
        </w:rPr>
      </w:pPr>
      <w:r w:rsidRPr="00AF2C7C">
        <w:rPr>
          <w:rFonts w:ascii="Times New Roman" w:hAnsi="Times New Roman"/>
          <w:sz w:val="28"/>
          <w:szCs w:val="28"/>
          <w:shd w:val="clear" w:color="auto" w:fill="FFFFFF"/>
        </w:rPr>
        <w:t xml:space="preserve">значення тиску питної води повинно відповідати </w:t>
      </w:r>
      <w:r w:rsidR="00AA1836" w:rsidRPr="00AF2C7C">
        <w:rPr>
          <w:rFonts w:ascii="Times New Roman" w:hAnsi="Times New Roman"/>
          <w:sz w:val="28"/>
          <w:szCs w:val="28"/>
          <w:shd w:val="clear" w:color="auto" w:fill="FFFFFF"/>
        </w:rPr>
        <w:t>параметрам, встановленим поточними індивідуальними технологічними нормативами використання питної води для Могилів – Подільського міського комунального підприємства «ВОДОКАНАЛ», затверджених рішенням виконавчого комітету Могилів – Подільської міської ради № 148 від 02.07.2020 р.</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 Інформація про споживача: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 адреса: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вулиця _____________________________________________________,</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номер будинку _________, номер приміщення  ___________________,</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населений пункт _____________________________________________,</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район ______________________________________________________,</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область _____________________________________________________,</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індекс ______________________________________________________;</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 контактний номер телефону споживача _______________________;</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3) кількість осіб, які фактично користуються послугами ___________.</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346"/>
        <w:gridCol w:w="1625"/>
        <w:gridCol w:w="1625"/>
        <w:gridCol w:w="1484"/>
        <w:gridCol w:w="1321"/>
        <w:gridCol w:w="1725"/>
        <w:gridCol w:w="1053"/>
      </w:tblGrid>
      <w:tr w:rsidR="00DE294D" w:rsidRPr="00AF2C7C" w:rsidTr="00DC6AF0">
        <w:tc>
          <w:tcPr>
            <w:tcW w:w="1344" w:type="dxa"/>
            <w:tcBorders>
              <w:top w:val="single" w:sz="2" w:space="0" w:color="auto"/>
              <w:bottom w:val="single" w:sz="2" w:space="0" w:color="auto"/>
            </w:tcBorders>
            <w:tcMar>
              <w:top w:w="0" w:type="dxa"/>
              <w:left w:w="28" w:type="dxa"/>
              <w:bottom w:w="0" w:type="dxa"/>
              <w:right w:w="28" w:type="dxa"/>
            </w:tcMar>
            <w:vAlign w:val="center"/>
          </w:tcPr>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Заводський номер, найменування </w:t>
            </w:r>
            <w:r w:rsidRPr="00AF2C7C">
              <w:rPr>
                <w:rFonts w:ascii="Times New Roman" w:hAnsi="Times New Roman"/>
                <w:sz w:val="28"/>
                <w:szCs w:val="28"/>
              </w:rPr>
              <w:br/>
              <w:t xml:space="preserve">та умовне позначення </w:t>
            </w:r>
            <w:r w:rsidRPr="00AF2C7C">
              <w:rPr>
                <w:rFonts w:ascii="Times New Roman" w:hAnsi="Times New Roman"/>
                <w:sz w:val="28"/>
                <w:szCs w:val="28"/>
              </w:rPr>
              <w:br/>
              <w:t xml:space="preserve">типу засобу </w:t>
            </w:r>
            <w:r w:rsidRPr="00AF2C7C">
              <w:rPr>
                <w:rFonts w:ascii="Times New Roman" w:hAnsi="Times New Roman"/>
                <w:sz w:val="28"/>
                <w:szCs w:val="28"/>
              </w:rPr>
              <w:lastRenderedPageBreak/>
              <w:t>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lastRenderedPageBreak/>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rsidR="00DE294D" w:rsidRPr="00AF2C7C" w:rsidRDefault="00DE294D" w:rsidP="00AF2C7C">
            <w:pPr>
              <w:pStyle w:val="a9"/>
              <w:jc w:val="both"/>
              <w:rPr>
                <w:rFonts w:ascii="Times New Roman" w:hAnsi="Times New Roman"/>
                <w:sz w:val="28"/>
                <w:szCs w:val="28"/>
              </w:rPr>
            </w:pPr>
            <w:proofErr w:type="spellStart"/>
            <w:r w:rsidRPr="00AF2C7C">
              <w:rPr>
                <w:rFonts w:ascii="Times New Roman" w:hAnsi="Times New Roman"/>
                <w:sz w:val="28"/>
                <w:szCs w:val="28"/>
              </w:rPr>
              <w:t>Міжповірочний</w:t>
            </w:r>
            <w:proofErr w:type="spellEnd"/>
            <w:r w:rsidRPr="00AF2C7C">
              <w:rPr>
                <w:rFonts w:ascii="Times New Roman" w:hAnsi="Times New Roman"/>
                <w:sz w:val="28"/>
                <w:szCs w:val="28"/>
              </w:rPr>
              <w:t xml:space="preserve">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Примітка</w:t>
            </w:r>
          </w:p>
        </w:tc>
      </w:tr>
    </w:tbl>
    <w:p w:rsidR="00DE294D" w:rsidRPr="00AF2C7C" w:rsidRDefault="00DE294D" w:rsidP="00AF2C7C">
      <w:pPr>
        <w:pStyle w:val="a9"/>
        <w:jc w:val="both"/>
        <w:rPr>
          <w:rFonts w:ascii="Times New Roman" w:hAnsi="Times New Roman"/>
          <w:sz w:val="28"/>
          <w:szCs w:val="28"/>
        </w:rPr>
      </w:pPr>
    </w:p>
    <w:p w:rsidR="00DE294D" w:rsidRPr="00005466" w:rsidRDefault="00DE294D" w:rsidP="00005466">
      <w:pPr>
        <w:pStyle w:val="a9"/>
        <w:jc w:val="center"/>
        <w:rPr>
          <w:rFonts w:ascii="Times New Roman" w:hAnsi="Times New Roman"/>
          <w:b/>
          <w:sz w:val="28"/>
          <w:szCs w:val="28"/>
        </w:rPr>
      </w:pPr>
      <w:r w:rsidRPr="00005466">
        <w:rPr>
          <w:rFonts w:ascii="Times New Roman" w:hAnsi="Times New Roman"/>
          <w:b/>
          <w:sz w:val="28"/>
          <w:szCs w:val="28"/>
        </w:rPr>
        <w:t>Порядок надання та вимоги до якості послуг</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4. Виконавець забезпечує постачання послуг безперервно з гарантованим рівнем безпеки та значенням тиску.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Послуга з централізованого водовідведення надається у мережі виконавця з мереж споживача за умови справності мереж споживача.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AF2C7C">
        <w:rPr>
          <w:rFonts w:ascii="Times New Roman" w:hAnsi="Times New Roman"/>
          <w:sz w:val="28"/>
          <w:szCs w:val="28"/>
        </w:rPr>
        <w:t>внутрішньобудинкових</w:t>
      </w:r>
      <w:proofErr w:type="spellEnd"/>
      <w:r w:rsidRPr="00AF2C7C">
        <w:rPr>
          <w:rFonts w:ascii="Times New Roman" w:hAnsi="Times New Roman"/>
          <w:sz w:val="28"/>
          <w:szCs w:val="28"/>
        </w:rPr>
        <w:t xml:space="preserve"> систем будівлі (інженерно-технічних систем приміщення споживача) та зовнішніх інженерних мереж постачання послуг.</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C83CF0" w:rsidRPr="00AF2C7C" w:rsidRDefault="00C83CF0" w:rsidP="00AF2C7C">
      <w:pPr>
        <w:pStyle w:val="a9"/>
        <w:jc w:val="both"/>
        <w:rPr>
          <w:rFonts w:ascii="Times New Roman" w:hAnsi="Times New Roman"/>
          <w:sz w:val="28"/>
          <w:szCs w:val="28"/>
        </w:rPr>
      </w:pPr>
    </w:p>
    <w:p w:rsidR="00DE294D" w:rsidRPr="00005466" w:rsidRDefault="00DE294D" w:rsidP="00005466">
      <w:pPr>
        <w:pStyle w:val="a9"/>
        <w:jc w:val="center"/>
        <w:rPr>
          <w:rFonts w:ascii="Times New Roman" w:hAnsi="Times New Roman"/>
          <w:b/>
          <w:sz w:val="28"/>
          <w:szCs w:val="28"/>
        </w:rPr>
      </w:pPr>
      <w:r w:rsidRPr="00005466">
        <w:rPr>
          <w:rFonts w:ascii="Times New Roman" w:hAnsi="Times New Roman"/>
          <w:b/>
          <w:sz w:val="28"/>
          <w:szCs w:val="28"/>
        </w:rPr>
        <w:t>Облік послуги</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rsidR="00DE294D" w:rsidRPr="00AF2C7C" w:rsidRDefault="00DE294D" w:rsidP="00AF2C7C">
      <w:pPr>
        <w:pStyle w:val="a9"/>
        <w:jc w:val="both"/>
        <w:rPr>
          <w:rFonts w:ascii="Times New Roman" w:hAnsi="Times New Roman"/>
          <w:sz w:val="28"/>
          <w:szCs w:val="28"/>
          <w:shd w:val="clear" w:color="auto" w:fill="FFFFFF"/>
        </w:rPr>
      </w:pPr>
      <w:r w:rsidRPr="00AF2C7C">
        <w:rPr>
          <w:rFonts w:ascii="Times New Roman" w:hAnsi="Times New Roman"/>
          <w:sz w:val="28"/>
          <w:szCs w:val="28"/>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AF2C7C">
        <w:rPr>
          <w:rFonts w:ascii="Times New Roman" w:hAnsi="Times New Roman"/>
          <w:sz w:val="28"/>
          <w:szCs w:val="28"/>
        </w:rPr>
        <w:t>Мінрегіону</w:t>
      </w:r>
      <w:proofErr w:type="spellEnd"/>
      <w:r w:rsidRPr="00AF2C7C">
        <w:rPr>
          <w:rFonts w:ascii="Times New Roman" w:hAnsi="Times New Roman"/>
          <w:sz w:val="28"/>
          <w:szCs w:val="28"/>
        </w:rPr>
        <w:t xml:space="preserve"> від 1 грудня 2017 р. № 316.</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AF2C7C">
        <w:rPr>
          <w:rFonts w:ascii="Times New Roman" w:hAnsi="Times New Roman"/>
          <w:sz w:val="28"/>
          <w:szCs w:val="28"/>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rsidR="00DE294D" w:rsidRPr="00AF2C7C" w:rsidRDefault="00DE294D" w:rsidP="00AF2C7C">
      <w:pPr>
        <w:pStyle w:val="a9"/>
        <w:jc w:val="both"/>
        <w:rPr>
          <w:rFonts w:ascii="Times New Roman" w:hAnsi="Times New Roman"/>
          <w:sz w:val="28"/>
          <w:szCs w:val="28"/>
          <w:shd w:val="clear" w:color="auto" w:fill="FFFFFF"/>
        </w:rPr>
      </w:pPr>
      <w:r w:rsidRPr="00AF2C7C">
        <w:rPr>
          <w:rFonts w:ascii="Times New Roman" w:hAnsi="Times New Roman"/>
          <w:sz w:val="28"/>
          <w:szCs w:val="28"/>
          <w:shd w:val="clear" w:color="auto" w:fill="FFFFFF"/>
        </w:rPr>
        <w:t>10. Одиницею вимірювання обсягу спожитих споживачем послуг є куб. метр.</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AF2C7C">
        <w:rPr>
          <w:rFonts w:ascii="Times New Roman" w:hAnsi="Times New Roman"/>
          <w:sz w:val="28"/>
          <w:szCs w:val="28"/>
        </w:rPr>
        <w:t>Мінрегіону</w:t>
      </w:r>
      <w:proofErr w:type="spellEnd"/>
      <w:r w:rsidRPr="00AF2C7C">
        <w:rPr>
          <w:rFonts w:ascii="Times New Roman" w:hAnsi="Times New Roman"/>
          <w:sz w:val="28"/>
          <w:szCs w:val="28"/>
        </w:rPr>
        <w:t xml:space="preserve"> від 22 листопада 2018 р. № 315 (далі - Методика розподілу).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13. Початок періоду виходу з ладу вузла комерційного обліку визначається:</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lastRenderedPageBreak/>
        <w:t>за даними електронного архіву в разі отримання з нього інформації щодо дати початку періоду виходу з ладу вузла комерційного обліку;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з дати, наступної за днем останнього періодичного огляду вузла комерційного обліку або зняття його показань в інших випадках.</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AF2C7C">
        <w:rPr>
          <w:rFonts w:ascii="Times New Roman" w:hAnsi="Times New Roman"/>
          <w:sz w:val="28"/>
          <w:szCs w:val="28"/>
        </w:rPr>
        <w:t>розпломбування</w:t>
      </w:r>
      <w:proofErr w:type="spellEnd"/>
      <w:r w:rsidRPr="00AF2C7C">
        <w:rPr>
          <w:rFonts w:ascii="Times New Roman" w:hAnsi="Times New Roman"/>
          <w:sz w:val="28"/>
          <w:szCs w:val="28"/>
        </w:rPr>
        <w:t xml:space="preserve"> вузла комерційного обліку.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16. Зняття показань засобів вимірювальної техніки вузла (вузлів) комерційного обліку виконавцем щомісяця </w:t>
      </w:r>
      <w:r w:rsidR="00AA1836" w:rsidRPr="00AF2C7C">
        <w:rPr>
          <w:rFonts w:ascii="Times New Roman" w:hAnsi="Times New Roman"/>
          <w:sz w:val="28"/>
          <w:szCs w:val="28"/>
        </w:rPr>
        <w:t>до 20 числа поточного місяця</w:t>
      </w:r>
      <w:r w:rsidRPr="00AF2C7C">
        <w:rPr>
          <w:rFonts w:ascii="Times New Roman" w:hAnsi="Times New Roman"/>
          <w:sz w:val="28"/>
          <w:szCs w:val="28"/>
        </w:rPr>
        <w:t xml:space="preserve"> в присутності споживача (його представника)</w:t>
      </w:r>
      <w:r w:rsidR="00AA1836" w:rsidRPr="00AF2C7C">
        <w:rPr>
          <w:rFonts w:ascii="Times New Roman" w:hAnsi="Times New Roman"/>
          <w:sz w:val="28"/>
          <w:szCs w:val="28"/>
        </w:rPr>
        <w:t>.</w:t>
      </w:r>
      <w:r w:rsidRPr="00AF2C7C">
        <w:rPr>
          <w:rFonts w:ascii="Times New Roman" w:hAnsi="Times New Roman"/>
          <w:sz w:val="28"/>
          <w:szCs w:val="28"/>
        </w:rPr>
        <w:t xml:space="preserve">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 за фактичний час споживання, але не менше 15 днів.</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Після відновлення надання показань вузлів комерційного обліку виконавець зобов’язаний провести перерахунок із споживачем.</w:t>
      </w:r>
    </w:p>
    <w:p w:rsidR="00C83CF0" w:rsidRPr="00AF2C7C" w:rsidRDefault="00C83CF0" w:rsidP="00AF2C7C">
      <w:pPr>
        <w:pStyle w:val="a9"/>
        <w:jc w:val="both"/>
        <w:rPr>
          <w:rFonts w:ascii="Times New Roman" w:hAnsi="Times New Roman"/>
          <w:sz w:val="28"/>
          <w:szCs w:val="28"/>
        </w:rPr>
      </w:pP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Власник (співвласники) будівлі або його (їх) представники мають право доступу до місць установлення вузлів комерційного обліку для проведення перевірки </w:t>
      </w:r>
      <w:r w:rsidRPr="00AF2C7C">
        <w:rPr>
          <w:rFonts w:ascii="Times New Roman" w:hAnsi="Times New Roman"/>
          <w:sz w:val="28"/>
          <w:szCs w:val="28"/>
        </w:rPr>
        <w:lastRenderedPageBreak/>
        <w:t>схоронності та зняття показань. Втручання в роботу вузла комерційного обліку заборонено.</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DE294D" w:rsidRPr="00AF2C7C" w:rsidRDefault="00DE294D" w:rsidP="00AF2C7C">
      <w:pPr>
        <w:pStyle w:val="a9"/>
        <w:jc w:val="both"/>
        <w:rPr>
          <w:rFonts w:ascii="Times New Roman" w:hAnsi="Times New Roman"/>
          <w:spacing w:val="-4"/>
          <w:sz w:val="28"/>
          <w:szCs w:val="28"/>
        </w:rPr>
      </w:pPr>
      <w:r w:rsidRPr="00AF2C7C">
        <w:rPr>
          <w:rFonts w:ascii="Times New Roman" w:hAnsi="Times New Roman"/>
          <w:spacing w:val="-4"/>
          <w:sz w:val="28"/>
          <w:szCs w:val="28"/>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AF2C7C">
        <w:rPr>
          <w:rFonts w:ascii="Times New Roman" w:hAnsi="Times New Roman"/>
          <w:sz w:val="28"/>
          <w:szCs w:val="28"/>
        </w:rPr>
        <w:t>розпломбування</w:t>
      </w:r>
      <w:proofErr w:type="spellEnd"/>
      <w:r w:rsidRPr="00AF2C7C">
        <w:rPr>
          <w:rFonts w:ascii="Times New Roman" w:hAnsi="Times New Roman"/>
          <w:sz w:val="28"/>
          <w:szCs w:val="28"/>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Заміна і обслуговування, зокрема огляд, опломбування/ </w:t>
      </w:r>
      <w:proofErr w:type="spellStart"/>
      <w:r w:rsidRPr="00AF2C7C">
        <w:rPr>
          <w:rFonts w:ascii="Times New Roman" w:hAnsi="Times New Roman"/>
          <w:sz w:val="28"/>
          <w:szCs w:val="28"/>
        </w:rPr>
        <w:t>розпломбування</w:t>
      </w:r>
      <w:proofErr w:type="spellEnd"/>
      <w:r w:rsidRPr="00AF2C7C">
        <w:rPr>
          <w:rFonts w:ascii="Times New Roman" w:hAnsi="Times New Roman"/>
          <w:sz w:val="28"/>
          <w:szCs w:val="28"/>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C83CF0" w:rsidRPr="00AF2C7C" w:rsidRDefault="00C83CF0" w:rsidP="00AF2C7C">
      <w:pPr>
        <w:pStyle w:val="a9"/>
        <w:jc w:val="both"/>
        <w:rPr>
          <w:rFonts w:ascii="Times New Roman" w:hAnsi="Times New Roman"/>
          <w:sz w:val="28"/>
          <w:szCs w:val="28"/>
        </w:rPr>
      </w:pPr>
    </w:p>
    <w:p w:rsidR="00DE294D" w:rsidRPr="00005466" w:rsidRDefault="00DE294D" w:rsidP="00005466">
      <w:pPr>
        <w:pStyle w:val="a9"/>
        <w:jc w:val="center"/>
        <w:rPr>
          <w:rFonts w:ascii="Times New Roman" w:hAnsi="Times New Roman"/>
          <w:b/>
          <w:sz w:val="28"/>
          <w:szCs w:val="28"/>
        </w:rPr>
      </w:pPr>
      <w:r w:rsidRPr="00005466">
        <w:rPr>
          <w:rFonts w:ascii="Times New Roman" w:hAnsi="Times New Roman"/>
          <w:b/>
          <w:sz w:val="28"/>
          <w:szCs w:val="28"/>
        </w:rPr>
        <w:t xml:space="preserve">Ціна та порядок оплати послуги, порядок та умови </w:t>
      </w:r>
      <w:r w:rsidRPr="00005466">
        <w:rPr>
          <w:rFonts w:ascii="Times New Roman" w:hAnsi="Times New Roman"/>
          <w:b/>
          <w:sz w:val="28"/>
          <w:szCs w:val="28"/>
        </w:rPr>
        <w:br/>
        <w:t>внесення змін до договору</w:t>
      </w:r>
    </w:p>
    <w:p w:rsidR="00DE294D" w:rsidRPr="00AF2C7C" w:rsidRDefault="00DE294D" w:rsidP="00005466">
      <w:pPr>
        <w:pStyle w:val="a9"/>
        <w:jc w:val="both"/>
        <w:rPr>
          <w:rFonts w:ascii="Times New Roman" w:hAnsi="Times New Roman"/>
          <w:sz w:val="28"/>
          <w:szCs w:val="28"/>
        </w:rPr>
      </w:pPr>
      <w:r w:rsidRPr="00AF2C7C">
        <w:rPr>
          <w:rFonts w:ascii="Times New Roman" w:hAnsi="Times New Roman"/>
          <w:sz w:val="28"/>
          <w:szCs w:val="28"/>
        </w:rPr>
        <w:t>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w:t>
      </w:r>
      <w:r w:rsidR="00005466">
        <w:rPr>
          <w:rFonts w:ascii="Times New Roman" w:hAnsi="Times New Roman"/>
          <w:sz w:val="28"/>
          <w:szCs w:val="28"/>
        </w:rPr>
        <w:t xml:space="preserve"> </w:t>
      </w:r>
      <w:r w:rsidRPr="00AF2C7C">
        <w:rPr>
          <w:rFonts w:ascii="Times New Roman" w:hAnsi="Times New Roman"/>
          <w:sz w:val="28"/>
          <w:szCs w:val="28"/>
        </w:rPr>
        <w:t xml:space="preserve">№ 63, ст. 2194), - в редакції постанови Кабінету Міністрів України від 2 лютого 2022 р. № 85, та </w:t>
      </w:r>
      <w:r w:rsidR="00005466">
        <w:rPr>
          <w:rFonts w:ascii="Times New Roman" w:hAnsi="Times New Roman"/>
          <w:sz w:val="28"/>
          <w:szCs w:val="28"/>
        </w:rPr>
        <w:t>м</w:t>
      </w:r>
      <w:r w:rsidRPr="00AF2C7C">
        <w:rPr>
          <w:rFonts w:ascii="Times New Roman" w:hAnsi="Times New Roman"/>
          <w:sz w:val="28"/>
          <w:szCs w:val="28"/>
        </w:rPr>
        <w:t>етодики розподілу.</w:t>
      </w:r>
    </w:p>
    <w:p w:rsidR="00AF2C7C"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У разі коли споживач є власником (користувачем) приміщення у будівлі, а розподіл спожитих послуг здійснюється виконавцем, такому споживачу нараховується </w:t>
      </w:r>
      <w:r w:rsidR="007C0A41" w:rsidRPr="007C0A41">
        <w:rPr>
          <w:rFonts w:ascii="Times New Roman" w:hAnsi="Times New Roman"/>
          <w:sz w:val="28"/>
          <w:szCs w:val="28"/>
        </w:rPr>
        <w:t>плата за абонентське обслуговування</w:t>
      </w:r>
      <w:r w:rsidR="00AA1836" w:rsidRPr="00AF2C7C">
        <w:rPr>
          <w:rFonts w:ascii="Times New Roman" w:hAnsi="Times New Roman"/>
          <w:sz w:val="28"/>
          <w:szCs w:val="28"/>
        </w:rPr>
        <w:t xml:space="preserve">, </w:t>
      </w:r>
      <w:r w:rsidRPr="00AF2C7C">
        <w:rPr>
          <w:rFonts w:ascii="Times New Roman" w:hAnsi="Times New Roman"/>
          <w:sz w:val="28"/>
          <w:szCs w:val="28"/>
        </w:rPr>
        <w:t xml:space="preserve"> </w:t>
      </w:r>
      <w:r w:rsidR="00AA1836" w:rsidRPr="00AF2C7C">
        <w:rPr>
          <w:rFonts w:ascii="Times New Roman" w:hAnsi="Times New Roman"/>
          <w:sz w:val="28"/>
          <w:szCs w:val="28"/>
        </w:rPr>
        <w:t>яка (у випадку її встановлення) визначається виконавцем</w:t>
      </w:r>
      <w:r w:rsidR="00AF2C7C" w:rsidRPr="00AF2C7C">
        <w:rPr>
          <w:rFonts w:ascii="Times New Roman" w:hAnsi="Times New Roman"/>
          <w:sz w:val="28"/>
          <w:szCs w:val="28"/>
        </w:rPr>
        <w:t xml:space="preserve">, але не вище граничного розміру, визначеного Кабінетом Міністрів України, інформація про яку розміщується на веб-сайті органу місцевого самоврядування: </w:t>
      </w:r>
      <w:hyperlink r:id="rId4" w:history="1">
        <w:r w:rsidR="00AF2C7C" w:rsidRPr="00AF2C7C">
          <w:rPr>
            <w:rStyle w:val="a6"/>
            <w:rFonts w:ascii="Times New Roman" w:hAnsi="Times New Roman"/>
            <w:sz w:val="28"/>
            <w:szCs w:val="28"/>
          </w:rPr>
          <w:t>https://mpmr.gov.ua/</w:t>
        </w:r>
      </w:hyperlink>
      <w:r w:rsidR="00AF2C7C" w:rsidRPr="00AF2C7C">
        <w:rPr>
          <w:rFonts w:ascii="Times New Roman" w:hAnsi="Times New Roman"/>
          <w:sz w:val="28"/>
          <w:szCs w:val="28"/>
        </w:rPr>
        <w:t>.</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AF2C7C" w:rsidRPr="00AF2C7C" w:rsidRDefault="00AF2C7C" w:rsidP="00AF2C7C">
      <w:pPr>
        <w:pStyle w:val="a9"/>
        <w:jc w:val="both"/>
        <w:rPr>
          <w:rFonts w:ascii="Times New Roman" w:hAnsi="Times New Roman"/>
          <w:sz w:val="28"/>
          <w:szCs w:val="28"/>
        </w:rPr>
      </w:pPr>
      <w:r w:rsidRPr="00AF2C7C">
        <w:rPr>
          <w:rFonts w:ascii="Times New Roman" w:hAnsi="Times New Roman"/>
          <w:sz w:val="28"/>
          <w:szCs w:val="28"/>
        </w:rPr>
        <w:t>Станом на дату розміщення цього договору тариф на послугу з централізованого водопостачання становить 13,07 гривень за куб. метр, тариф на послугу з централізованого водовідведення становить 18,17 гривень за куб. метр, а всього – 31 грн. 24 коп. за 1 куб. м., абонентська плата не нараховуються.</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У разі прийняття уповноваженим органом рішення про зміну цін/тарифів на послугу з централізованого водопостачання та/або на послугу з централізованого </w:t>
      </w:r>
      <w:r w:rsidRPr="00AF2C7C">
        <w:rPr>
          <w:rFonts w:ascii="Times New Roman" w:hAnsi="Times New Roman"/>
          <w:sz w:val="28"/>
          <w:szCs w:val="28"/>
        </w:rPr>
        <w:lastRenderedPageBreak/>
        <w:t>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21. Розрахунковим періодом для оплати обсягу спожитих послуг є календарний місяць.</w:t>
      </w:r>
    </w:p>
    <w:p w:rsidR="00AF2C7C" w:rsidRPr="00AF2C7C" w:rsidRDefault="00AF2C7C" w:rsidP="00AF2C7C">
      <w:pPr>
        <w:pStyle w:val="a9"/>
        <w:jc w:val="both"/>
        <w:rPr>
          <w:rFonts w:ascii="Times New Roman" w:hAnsi="Times New Roman"/>
          <w:sz w:val="28"/>
          <w:szCs w:val="28"/>
        </w:rPr>
      </w:pPr>
      <w:r w:rsidRPr="00AF2C7C">
        <w:rPr>
          <w:rFonts w:ascii="Times New Roman" w:hAnsi="Times New Roman"/>
          <w:sz w:val="28"/>
          <w:szCs w:val="28"/>
        </w:rPr>
        <w:t xml:space="preserve">Плата за абонентське обслуговування нараховується щомісяця, починаючи з дати введення її в дію, про що буде повідомлено виконавцем на веб-сайті органу місцевого самоврядування: </w:t>
      </w:r>
      <w:hyperlink r:id="rId5" w:history="1">
        <w:r w:rsidRPr="00AF2C7C">
          <w:rPr>
            <w:rStyle w:val="a6"/>
            <w:rFonts w:ascii="Times New Roman" w:hAnsi="Times New Roman"/>
            <w:sz w:val="28"/>
            <w:szCs w:val="28"/>
          </w:rPr>
          <w:t>https://mpmr.gov.ua/</w:t>
        </w:r>
      </w:hyperlink>
      <w:r w:rsidRPr="00AF2C7C">
        <w:rPr>
          <w:rFonts w:ascii="Times New Roman" w:hAnsi="Times New Roman"/>
          <w:sz w:val="28"/>
          <w:szCs w:val="28"/>
        </w:rPr>
        <w:t>.</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23. Споживач здійснює оплату за цим договором щомісяця не пізніше останнього числа місяця, що є розрахунковим періодом.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24. За бажанням споживача оплата послуг може здійснюватися шляхом внесення авансових платежів.</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26. Плата за послугу не нараховується за час перерв, визначених частиною першою статті 16 Закону України “Про житлово-комунальні послуги”.</w:t>
      </w:r>
    </w:p>
    <w:p w:rsidR="00DE294D" w:rsidRPr="00005466" w:rsidRDefault="00DE294D" w:rsidP="00005466">
      <w:pPr>
        <w:pStyle w:val="a9"/>
        <w:jc w:val="center"/>
        <w:rPr>
          <w:rFonts w:ascii="Times New Roman" w:hAnsi="Times New Roman"/>
          <w:b/>
          <w:sz w:val="28"/>
          <w:szCs w:val="28"/>
        </w:rPr>
      </w:pPr>
      <w:r w:rsidRPr="00005466">
        <w:rPr>
          <w:rFonts w:ascii="Times New Roman" w:hAnsi="Times New Roman"/>
          <w:b/>
          <w:sz w:val="28"/>
          <w:szCs w:val="28"/>
        </w:rPr>
        <w:t>Права і обов’язки сторін</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27. Споживач має право:</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 одержувати своєчасно та належної якості послуги згідно із законодавством та умовами договору;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4) на усунення протягом строку, встановленого договором або законодавством, виявлених недоліків у наданні послуг;</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lastRenderedPageBreak/>
        <w:t>6) отримувати від виконавця штраф у розмірі, визначеному договором, за перевищення нормативних строків проведення аварійно-відновних робіт;</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7) на перевірку кількості та якості послуг у встановленому законодавством порядку;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(користувачів) приміщення у будівлі);</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12) звертатися до суду в разі порушення виконавцем умов договору.</w:t>
      </w:r>
    </w:p>
    <w:p w:rsidR="00DE294D" w:rsidRPr="00AF2C7C" w:rsidRDefault="00DE294D" w:rsidP="00AF2C7C">
      <w:pPr>
        <w:pStyle w:val="a9"/>
        <w:jc w:val="both"/>
        <w:rPr>
          <w:rFonts w:ascii="Times New Roman" w:hAnsi="Times New Roman"/>
          <w:sz w:val="28"/>
          <w:szCs w:val="28"/>
        </w:rPr>
      </w:pP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28. Споживач зобов’язаний:</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2) утримувати в належному технічному і санітарному стані водопровідні мережі та обладнання;</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4) своєчасно вживати заходів до усунення виявлених неполадок, пов’язаних з отриманням послуг, що виникли з його вини;</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5) забезпечувати цілісність обладнання вузлів обліку послуги та не втручатися в їх роботу;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7) у разі несвоєчасного здійснення платежів за послуги сплачувати пеню в розмірах, установлених законом або договором;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9) надавати виконавцеві показання вузлів обліку холодної та гарячої води в порядку та строки, визначені договором;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10) дотримуватися правил безпеки, зокрема пожежної, та санітарних норм.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29. Виконавець має право: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lastRenderedPageBreak/>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4) обмежити (припинити) надання послуг у разі їх </w:t>
      </w:r>
      <w:proofErr w:type="spellStart"/>
      <w:r w:rsidRPr="00AF2C7C">
        <w:rPr>
          <w:rFonts w:ascii="Times New Roman" w:hAnsi="Times New Roman"/>
          <w:sz w:val="28"/>
          <w:szCs w:val="28"/>
        </w:rPr>
        <w:t>неоплати</w:t>
      </w:r>
      <w:proofErr w:type="spellEnd"/>
      <w:r w:rsidRPr="00AF2C7C">
        <w:rPr>
          <w:rFonts w:ascii="Times New Roman" w:hAnsi="Times New Roman"/>
          <w:sz w:val="28"/>
          <w:szCs w:val="28"/>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r w:rsidR="00643603" w:rsidRPr="00AF2C7C">
        <w:rPr>
          <w:rFonts w:ascii="Times New Roman" w:hAnsi="Times New Roman"/>
          <w:sz w:val="28"/>
          <w:szCs w:val="28"/>
        </w:rPr>
        <w:t xml:space="preserve"> </w:t>
      </w:r>
      <w:r w:rsidR="00643603" w:rsidRPr="00AF2C7C">
        <w:rPr>
          <w:rStyle w:val="st42"/>
          <w:rFonts w:ascii="Times New Roman" w:eastAsiaTheme="minorHAnsi" w:hAnsi="Times New Roman"/>
          <w:sz w:val="28"/>
          <w:szCs w:val="28"/>
          <w:lang w:val="x-none"/>
        </w:rPr>
        <w:t>та/або якщо заборона щодо обмеження (припинення) надання послуги передбачена актами законодавства</w:t>
      </w:r>
      <w:r w:rsidRPr="00AF2C7C">
        <w:rPr>
          <w:rFonts w:ascii="Times New Roman" w:hAnsi="Times New Roman"/>
          <w:sz w:val="28"/>
          <w:szCs w:val="28"/>
        </w:rPr>
        <w:t>;</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5) звертатися до суду в разі порушення споживачем умов договору;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30. Виконавець зобов’язаний: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rsidR="00DE294D" w:rsidRPr="00AF2C7C" w:rsidRDefault="00DE294D" w:rsidP="00AF2C7C">
      <w:pPr>
        <w:pStyle w:val="a9"/>
        <w:jc w:val="both"/>
        <w:rPr>
          <w:rFonts w:ascii="Times New Roman" w:hAnsi="Times New Roman"/>
          <w:sz w:val="28"/>
          <w:szCs w:val="28"/>
          <w:shd w:val="clear" w:color="auto" w:fill="FFFFFF"/>
        </w:rPr>
      </w:pPr>
      <w:r w:rsidRPr="00AF2C7C">
        <w:rPr>
          <w:rFonts w:ascii="Times New Roman" w:hAnsi="Times New Roman"/>
          <w:sz w:val="28"/>
          <w:szCs w:val="28"/>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DE294D" w:rsidRPr="00AF2C7C" w:rsidRDefault="00DE294D" w:rsidP="00AF2C7C">
      <w:pPr>
        <w:pStyle w:val="a9"/>
        <w:jc w:val="both"/>
        <w:rPr>
          <w:rFonts w:ascii="Times New Roman" w:hAnsi="Times New Roman"/>
          <w:sz w:val="28"/>
          <w:szCs w:val="28"/>
          <w:shd w:val="clear" w:color="auto" w:fill="FFFFFF"/>
        </w:rPr>
      </w:pPr>
      <w:r w:rsidRPr="00AF2C7C">
        <w:rPr>
          <w:rFonts w:ascii="Times New Roman" w:hAnsi="Times New Roman"/>
          <w:sz w:val="28"/>
          <w:szCs w:val="28"/>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7) у </w:t>
      </w:r>
      <w:proofErr w:type="spellStart"/>
      <w:r w:rsidRPr="00AF2C7C">
        <w:rPr>
          <w:rFonts w:ascii="Times New Roman" w:hAnsi="Times New Roman"/>
          <w:sz w:val="28"/>
          <w:szCs w:val="28"/>
        </w:rPr>
        <w:t>міжопалювальний</w:t>
      </w:r>
      <w:proofErr w:type="spellEnd"/>
      <w:r w:rsidRPr="00AF2C7C">
        <w:rPr>
          <w:rFonts w:ascii="Times New Roman" w:hAnsi="Times New Roman"/>
          <w:sz w:val="28"/>
          <w:szCs w:val="28"/>
        </w:rPr>
        <w:t xml:space="preserve"> період проводити підготовку об’єктів житлово-комунального господарства до експлуатації в осінньо-зимовий період;</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lastRenderedPageBreak/>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12) своєчасно та за власний рахунок проводити роботи з усунення виявлених неполадок, пов’язаних з наданням послуг, що виникли з його вини;</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13) інформувати споживачів про намір зміни цін/тарифів на послуги відповідно до законодавства;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15) контролювати дотримання установлених </w:t>
      </w:r>
      <w:proofErr w:type="spellStart"/>
      <w:r w:rsidRPr="00AF2C7C">
        <w:rPr>
          <w:rFonts w:ascii="Times New Roman" w:hAnsi="Times New Roman"/>
          <w:sz w:val="28"/>
          <w:szCs w:val="28"/>
        </w:rPr>
        <w:t>міжповірочних</w:t>
      </w:r>
      <w:proofErr w:type="spellEnd"/>
      <w:r w:rsidRPr="00AF2C7C">
        <w:rPr>
          <w:rFonts w:ascii="Times New Roman" w:hAnsi="Times New Roman"/>
          <w:sz w:val="28"/>
          <w:szCs w:val="28"/>
        </w:rPr>
        <w:t xml:space="preserve"> інтервалів для засобів вимірювальної техніки, які є складовою частиною вузлів комерційного обліку;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DE294D" w:rsidRPr="00AF2C7C" w:rsidRDefault="00DE294D" w:rsidP="00AF2C7C">
      <w:pPr>
        <w:pStyle w:val="a9"/>
        <w:jc w:val="both"/>
        <w:rPr>
          <w:rFonts w:ascii="Times New Roman" w:hAnsi="Times New Roman"/>
          <w:color w:val="000000"/>
          <w:sz w:val="28"/>
          <w:szCs w:val="28"/>
        </w:rPr>
      </w:pPr>
      <w:r w:rsidRPr="00AF2C7C">
        <w:rPr>
          <w:rFonts w:ascii="Times New Roman" w:hAnsi="Times New Roman"/>
          <w:sz w:val="28"/>
          <w:szCs w:val="28"/>
        </w:rPr>
        <w:t xml:space="preserve">17) </w:t>
      </w:r>
      <w:r w:rsidRPr="00AF2C7C">
        <w:rPr>
          <w:rFonts w:ascii="Times New Roman" w:hAnsi="Times New Roman"/>
          <w:color w:val="000000"/>
          <w:sz w:val="28"/>
          <w:szCs w:val="28"/>
        </w:rPr>
        <w:t>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DE294D" w:rsidRPr="00005466" w:rsidRDefault="00DE294D" w:rsidP="00005466">
      <w:pPr>
        <w:pStyle w:val="a9"/>
        <w:jc w:val="center"/>
        <w:rPr>
          <w:rFonts w:ascii="Times New Roman" w:hAnsi="Times New Roman"/>
          <w:b/>
          <w:sz w:val="28"/>
          <w:szCs w:val="28"/>
        </w:rPr>
      </w:pPr>
      <w:r w:rsidRPr="00005466">
        <w:rPr>
          <w:rFonts w:ascii="Times New Roman" w:hAnsi="Times New Roman"/>
          <w:b/>
          <w:sz w:val="28"/>
          <w:szCs w:val="28"/>
        </w:rPr>
        <w:t>Відповідальність сторін за порушення умов договору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31. Сторони несуть відповідальність за невиконання умов цього договору відповідно до цього договору або закону.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32.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Нарахування пені починається з першого робочого дня, що настає за останнім днем граничного строку внесення плати за послугу.</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w:t>
      </w:r>
      <w:r w:rsidRPr="00AF2C7C">
        <w:rPr>
          <w:rFonts w:ascii="Times New Roman" w:hAnsi="Times New Roman"/>
          <w:sz w:val="28"/>
          <w:szCs w:val="28"/>
        </w:rPr>
        <w:lastRenderedPageBreak/>
        <w:t xml:space="preserve">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AF2C7C">
        <w:rPr>
          <w:rFonts w:ascii="Times New Roman" w:hAnsi="Times New Roman"/>
          <w:color w:val="000000"/>
          <w:sz w:val="28"/>
          <w:szCs w:val="28"/>
        </w:rPr>
        <w:t xml:space="preserve">відбувалися </w:t>
      </w:r>
      <w:r w:rsidRPr="00AF2C7C">
        <w:rPr>
          <w:rFonts w:ascii="Times New Roman" w:hAnsi="Times New Roman"/>
          <w:sz w:val="28"/>
          <w:szCs w:val="28"/>
        </w:rPr>
        <w:t>ліквідація або усунення виявлених неполадок, пов’язаних з отриманням послуг, що виникли з вини споживача).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w:t>
      </w:r>
      <w:r w:rsidR="00AF2C7C" w:rsidRPr="00AF2C7C">
        <w:rPr>
          <w:rFonts w:ascii="Times New Roman" w:hAnsi="Times New Roman"/>
          <w:sz w:val="28"/>
          <w:szCs w:val="28"/>
        </w:rPr>
        <w:t>.</w:t>
      </w:r>
      <w:r w:rsidRPr="00AF2C7C">
        <w:rPr>
          <w:rFonts w:ascii="Times New Roman" w:hAnsi="Times New Roman"/>
          <w:sz w:val="28"/>
          <w:szCs w:val="28"/>
        </w:rPr>
        <w:t xml:space="preserve">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37.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C83CF0" w:rsidRPr="00AF2C7C" w:rsidRDefault="00C83CF0" w:rsidP="00AF2C7C">
      <w:pPr>
        <w:pStyle w:val="a9"/>
        <w:jc w:val="both"/>
        <w:rPr>
          <w:rFonts w:ascii="Times New Roman" w:hAnsi="Times New Roman"/>
          <w:sz w:val="28"/>
          <w:szCs w:val="28"/>
        </w:rPr>
      </w:pPr>
    </w:p>
    <w:p w:rsidR="00DE294D" w:rsidRPr="00005466" w:rsidRDefault="00DE294D" w:rsidP="00005466">
      <w:pPr>
        <w:pStyle w:val="a9"/>
        <w:jc w:val="center"/>
        <w:rPr>
          <w:rFonts w:ascii="Times New Roman" w:hAnsi="Times New Roman"/>
          <w:b/>
          <w:sz w:val="28"/>
          <w:szCs w:val="28"/>
        </w:rPr>
      </w:pPr>
      <w:r w:rsidRPr="00005466">
        <w:rPr>
          <w:rFonts w:ascii="Times New Roman" w:hAnsi="Times New Roman"/>
          <w:b/>
          <w:sz w:val="28"/>
          <w:szCs w:val="28"/>
        </w:rPr>
        <w:t>Особливі умови</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AF2C7C">
        <w:rPr>
          <w:rFonts w:ascii="Times New Roman" w:hAnsi="Times New Roman"/>
          <w:sz w:val="28"/>
          <w:szCs w:val="28"/>
        </w:rPr>
        <w:t>Мінжитлокомунгоспу</w:t>
      </w:r>
      <w:proofErr w:type="spellEnd"/>
      <w:r w:rsidRPr="00AF2C7C">
        <w:rPr>
          <w:rFonts w:ascii="Times New Roman" w:hAnsi="Times New Roman"/>
          <w:sz w:val="28"/>
          <w:szCs w:val="28"/>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AF2C7C">
        <w:rPr>
          <w:rFonts w:ascii="Times New Roman" w:hAnsi="Times New Roman"/>
          <w:sz w:val="28"/>
          <w:szCs w:val="28"/>
        </w:rPr>
        <w:t>Мінрегіону</w:t>
      </w:r>
      <w:proofErr w:type="spellEnd"/>
      <w:r w:rsidRPr="00AF2C7C">
        <w:rPr>
          <w:rFonts w:ascii="Times New Roman" w:hAnsi="Times New Roman"/>
          <w:sz w:val="28"/>
          <w:szCs w:val="28"/>
        </w:rPr>
        <w:t xml:space="preserve"> від 1 грудня 2017 р. № 316, та місцевими правилами приймання стічних вод до систем централізованого водовідведення населеного пункту.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Для споживачів, визначених у пунктах 38 та 39, дію цього договору може бути продовжено на строк та на умовах, що передбачені нормами законодавства.</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Строк дії договору, порядок і умови внесення до нього змін,</w:t>
      </w:r>
      <w:r w:rsidRPr="00AF2C7C">
        <w:rPr>
          <w:rFonts w:ascii="Times New Roman" w:hAnsi="Times New Roman"/>
          <w:sz w:val="28"/>
          <w:szCs w:val="28"/>
        </w:rPr>
        <w:br/>
        <w:t xml:space="preserve"> продовження строку його дії та розірвання</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lastRenderedPageBreak/>
        <w:t xml:space="preserve">40. Цей договір набирає чинності з моменту його </w:t>
      </w:r>
      <w:r w:rsidR="00AF2C7C" w:rsidRPr="00AF2C7C">
        <w:rPr>
          <w:rFonts w:ascii="Times New Roman" w:hAnsi="Times New Roman"/>
          <w:sz w:val="28"/>
          <w:szCs w:val="28"/>
        </w:rPr>
        <w:t>укладе</w:t>
      </w:r>
      <w:r w:rsidRPr="00AF2C7C">
        <w:rPr>
          <w:rFonts w:ascii="Times New Roman" w:hAnsi="Times New Roman"/>
          <w:sz w:val="28"/>
          <w:szCs w:val="28"/>
        </w:rPr>
        <w:t>ння і діє протягом одного року з дати набрання чинності.</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DE294D" w:rsidRPr="00AF2C7C" w:rsidRDefault="00DE294D" w:rsidP="00AF2C7C">
      <w:pPr>
        <w:pStyle w:val="a9"/>
        <w:jc w:val="both"/>
        <w:rPr>
          <w:rFonts w:ascii="Times New Roman" w:hAnsi="Times New Roman"/>
          <w:sz w:val="28"/>
          <w:szCs w:val="28"/>
        </w:rPr>
      </w:pPr>
      <w:r w:rsidRPr="00AF2C7C">
        <w:rPr>
          <w:rFonts w:ascii="Times New Roman" w:hAnsi="Times New Roman"/>
          <w:sz w:val="28"/>
          <w:szCs w:val="28"/>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DE294D" w:rsidRPr="005D5D7A" w:rsidRDefault="00DE294D" w:rsidP="005D5D7A">
      <w:pPr>
        <w:pStyle w:val="a9"/>
        <w:jc w:val="center"/>
        <w:rPr>
          <w:rFonts w:ascii="Times New Roman" w:hAnsi="Times New Roman"/>
          <w:b/>
          <w:sz w:val="28"/>
          <w:szCs w:val="28"/>
        </w:rPr>
      </w:pPr>
      <w:r w:rsidRPr="005D5D7A">
        <w:rPr>
          <w:rFonts w:ascii="Times New Roman" w:hAnsi="Times New Roman"/>
          <w:b/>
          <w:sz w:val="28"/>
          <w:szCs w:val="28"/>
        </w:rPr>
        <w:t>Прикінцеві положення</w:t>
      </w:r>
    </w:p>
    <w:p w:rsidR="005758CC" w:rsidRPr="005758CC" w:rsidRDefault="00DE294D" w:rsidP="005758CC">
      <w:pPr>
        <w:pStyle w:val="a9"/>
        <w:jc w:val="both"/>
        <w:rPr>
          <w:rFonts w:ascii="Times New Roman" w:hAnsi="Times New Roman"/>
          <w:sz w:val="28"/>
          <w:szCs w:val="28"/>
        </w:rPr>
      </w:pPr>
      <w:r w:rsidRPr="00AF2C7C">
        <w:rPr>
          <w:rFonts w:ascii="Times New Roman" w:hAnsi="Times New Roman"/>
          <w:sz w:val="28"/>
          <w:szCs w:val="28"/>
        </w:rPr>
        <w:t xml:space="preserve">44. </w:t>
      </w:r>
      <w:r w:rsidR="005758CC" w:rsidRPr="005758CC">
        <w:rPr>
          <w:rFonts w:ascii="Times New Roman" w:hAnsi="Times New Roman"/>
          <w:sz w:val="28"/>
          <w:szCs w:val="28"/>
        </w:rPr>
        <w:t>Даний договір вважається укладеним через 30 днів з моменту розміщення на веб-сайті органу місцевого самоврядування: https://mpmr.gov.ua/.</w:t>
      </w:r>
    </w:p>
    <w:p w:rsidR="00DE294D" w:rsidRDefault="006008D6" w:rsidP="005758CC">
      <w:pPr>
        <w:pStyle w:val="a9"/>
        <w:jc w:val="both"/>
        <w:rPr>
          <w:rFonts w:ascii="Times New Roman" w:hAnsi="Times New Roman"/>
          <w:sz w:val="28"/>
          <w:szCs w:val="28"/>
        </w:rPr>
      </w:pPr>
      <w:r>
        <w:rPr>
          <w:rFonts w:ascii="Times New Roman" w:hAnsi="Times New Roman"/>
          <w:sz w:val="28"/>
          <w:szCs w:val="28"/>
        </w:rPr>
        <w:t>4</w:t>
      </w:r>
      <w:r w:rsidR="005758CC" w:rsidRPr="005758CC">
        <w:rPr>
          <w:rFonts w:ascii="Times New Roman" w:hAnsi="Times New Roman"/>
          <w:sz w:val="28"/>
          <w:szCs w:val="28"/>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веб-сайті органу місцевого самоврядування: </w:t>
      </w:r>
      <w:hyperlink r:id="rId6" w:history="1">
        <w:r w:rsidRPr="008D6748">
          <w:rPr>
            <w:rStyle w:val="a6"/>
            <w:rFonts w:ascii="Times New Roman" w:hAnsi="Times New Roman"/>
            <w:sz w:val="28"/>
            <w:szCs w:val="28"/>
          </w:rPr>
          <w:t>https://mpmr.gov.ua/</w:t>
        </w:r>
      </w:hyperlink>
      <w:r>
        <w:rPr>
          <w:rFonts w:ascii="Times New Roman" w:hAnsi="Times New Roman"/>
          <w:sz w:val="28"/>
          <w:szCs w:val="28"/>
        </w:rPr>
        <w:t>.</w:t>
      </w:r>
    </w:p>
    <w:p w:rsidR="006008D6" w:rsidRPr="00AF2C7C" w:rsidRDefault="006008D6" w:rsidP="005758CC">
      <w:pPr>
        <w:pStyle w:val="a9"/>
        <w:jc w:val="both"/>
        <w:rPr>
          <w:rFonts w:ascii="Times New Roman" w:hAnsi="Times New Roman"/>
          <w:sz w:val="28"/>
          <w:szCs w:val="28"/>
        </w:rPr>
      </w:pPr>
      <w:r>
        <w:rPr>
          <w:rFonts w:ascii="Times New Roman" w:hAnsi="Times New Roman"/>
          <w:sz w:val="28"/>
          <w:szCs w:val="28"/>
        </w:rPr>
        <w:t>44.</w:t>
      </w:r>
      <w:r w:rsidRPr="006008D6">
        <w:t xml:space="preserve"> </w:t>
      </w:r>
      <w:r w:rsidRPr="006008D6">
        <w:rPr>
          <w:rFonts w:ascii="Times New Roman" w:hAnsi="Times New Roman"/>
          <w:sz w:val="28"/>
          <w:szCs w:val="28"/>
        </w:rPr>
        <w:t>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r>
        <w:rPr>
          <w:rFonts w:ascii="Times New Roman" w:hAnsi="Times New Roman"/>
          <w:sz w:val="28"/>
          <w:szCs w:val="28"/>
        </w:rPr>
        <w:t>.</w:t>
      </w:r>
      <w:bookmarkStart w:id="0" w:name="_GoBack"/>
      <w:bookmarkEnd w:id="0"/>
    </w:p>
    <w:p w:rsidR="00DE294D" w:rsidRPr="00005466" w:rsidRDefault="00DE294D" w:rsidP="00005466">
      <w:pPr>
        <w:pStyle w:val="a9"/>
        <w:jc w:val="center"/>
        <w:rPr>
          <w:rFonts w:ascii="Times New Roman" w:hAnsi="Times New Roman"/>
          <w:b/>
          <w:sz w:val="28"/>
          <w:szCs w:val="28"/>
        </w:rPr>
      </w:pPr>
      <w:r w:rsidRPr="00005466">
        <w:rPr>
          <w:rFonts w:ascii="Times New Roman" w:hAnsi="Times New Roman"/>
          <w:b/>
          <w:sz w:val="28"/>
          <w:szCs w:val="28"/>
        </w:rPr>
        <w:t xml:space="preserve">Реквізити </w:t>
      </w:r>
      <w:r w:rsidR="00AF2C7C" w:rsidRPr="00005466">
        <w:rPr>
          <w:rFonts w:ascii="Times New Roman" w:hAnsi="Times New Roman"/>
          <w:b/>
          <w:sz w:val="28"/>
          <w:szCs w:val="28"/>
        </w:rPr>
        <w:t>Виконавця</w:t>
      </w:r>
    </w:p>
    <w:p w:rsidR="00DE294D" w:rsidRPr="00AF2C7C" w:rsidRDefault="00DE294D" w:rsidP="00AF2C7C">
      <w:pPr>
        <w:pStyle w:val="a9"/>
        <w:jc w:val="both"/>
        <w:rPr>
          <w:rFonts w:ascii="Times New Roman" w:hAnsi="Times New Roman"/>
          <w:b/>
          <w:sz w:val="28"/>
          <w:szCs w:val="28"/>
        </w:rPr>
      </w:pPr>
    </w:p>
    <w:tbl>
      <w:tblPr>
        <w:tblW w:w="2577" w:type="pct"/>
        <w:tblLayout w:type="fixed"/>
        <w:tblLook w:val="04A0" w:firstRow="1" w:lastRow="0" w:firstColumn="1" w:lastColumn="0" w:noHBand="0" w:noVBand="1"/>
      </w:tblPr>
      <w:tblGrid>
        <w:gridCol w:w="4948"/>
        <w:gridCol w:w="311"/>
      </w:tblGrid>
      <w:tr w:rsidR="00AF2C7C" w:rsidRPr="00AF2C7C" w:rsidTr="00AF2C7C">
        <w:tc>
          <w:tcPr>
            <w:tcW w:w="4704" w:type="pct"/>
            <w:hideMark/>
          </w:tcPr>
          <w:p w:rsidR="00AF2C7C" w:rsidRPr="00AF2C7C" w:rsidRDefault="00AF2C7C" w:rsidP="00AF2C7C">
            <w:pPr>
              <w:pStyle w:val="a9"/>
              <w:jc w:val="both"/>
              <w:rPr>
                <w:rFonts w:ascii="Times New Roman" w:hAnsi="Times New Roman"/>
                <w:b/>
                <w:sz w:val="28"/>
                <w:szCs w:val="28"/>
              </w:rPr>
            </w:pPr>
            <w:r w:rsidRPr="00AF2C7C">
              <w:rPr>
                <w:rFonts w:ascii="Times New Roman" w:hAnsi="Times New Roman"/>
                <w:b/>
                <w:sz w:val="28"/>
                <w:szCs w:val="28"/>
              </w:rPr>
              <w:t>Виконавець:</w:t>
            </w:r>
          </w:p>
        </w:tc>
        <w:tc>
          <w:tcPr>
            <w:tcW w:w="296" w:type="pct"/>
          </w:tcPr>
          <w:p w:rsidR="00AF2C7C" w:rsidRPr="00AF2C7C" w:rsidRDefault="00AF2C7C" w:rsidP="00AF2C7C">
            <w:pPr>
              <w:pStyle w:val="a9"/>
              <w:jc w:val="both"/>
              <w:rPr>
                <w:rFonts w:ascii="Times New Roman" w:hAnsi="Times New Roman"/>
                <w:sz w:val="28"/>
                <w:szCs w:val="28"/>
              </w:rPr>
            </w:pPr>
          </w:p>
        </w:tc>
      </w:tr>
      <w:tr w:rsidR="00AF2C7C" w:rsidRPr="00AF2C7C" w:rsidTr="00AF2C7C">
        <w:tc>
          <w:tcPr>
            <w:tcW w:w="4704" w:type="pct"/>
          </w:tcPr>
          <w:p w:rsidR="00AF2C7C" w:rsidRPr="00AF2C7C" w:rsidRDefault="00AF2C7C" w:rsidP="00AF2C7C">
            <w:pPr>
              <w:pStyle w:val="a9"/>
              <w:jc w:val="both"/>
              <w:rPr>
                <w:rFonts w:ascii="Times New Roman" w:hAnsi="Times New Roman"/>
                <w:sz w:val="28"/>
                <w:szCs w:val="28"/>
              </w:rPr>
            </w:pPr>
            <w:r w:rsidRPr="00AF2C7C">
              <w:rPr>
                <w:rFonts w:ascii="Times New Roman" w:hAnsi="Times New Roman"/>
                <w:sz w:val="28"/>
                <w:szCs w:val="28"/>
              </w:rPr>
              <w:t>Могилів–Подільське комунальне</w:t>
            </w:r>
          </w:p>
        </w:tc>
        <w:tc>
          <w:tcPr>
            <w:tcW w:w="296" w:type="pct"/>
          </w:tcPr>
          <w:p w:rsidR="00AF2C7C" w:rsidRPr="00AF2C7C" w:rsidRDefault="00AF2C7C" w:rsidP="00AF2C7C">
            <w:pPr>
              <w:pStyle w:val="a9"/>
              <w:jc w:val="both"/>
              <w:rPr>
                <w:rFonts w:ascii="Times New Roman" w:hAnsi="Times New Roman"/>
                <w:sz w:val="28"/>
                <w:szCs w:val="28"/>
              </w:rPr>
            </w:pPr>
          </w:p>
        </w:tc>
      </w:tr>
      <w:tr w:rsidR="00AF2C7C" w:rsidRPr="00AF2C7C" w:rsidTr="00AF2C7C">
        <w:tc>
          <w:tcPr>
            <w:tcW w:w="4704" w:type="pct"/>
          </w:tcPr>
          <w:p w:rsidR="00AF2C7C" w:rsidRPr="00AF2C7C" w:rsidRDefault="00AF2C7C" w:rsidP="00AF2C7C">
            <w:pPr>
              <w:pStyle w:val="a9"/>
              <w:jc w:val="both"/>
              <w:rPr>
                <w:rFonts w:ascii="Times New Roman" w:hAnsi="Times New Roman"/>
                <w:sz w:val="28"/>
                <w:szCs w:val="28"/>
              </w:rPr>
            </w:pPr>
            <w:r w:rsidRPr="00AF2C7C">
              <w:rPr>
                <w:rFonts w:ascii="Times New Roman" w:hAnsi="Times New Roman"/>
                <w:sz w:val="28"/>
                <w:szCs w:val="28"/>
              </w:rPr>
              <w:t xml:space="preserve"> підприємство «Водоканал» </w:t>
            </w:r>
          </w:p>
        </w:tc>
        <w:tc>
          <w:tcPr>
            <w:tcW w:w="296" w:type="pct"/>
          </w:tcPr>
          <w:p w:rsidR="00AF2C7C" w:rsidRPr="00AF2C7C" w:rsidRDefault="00AF2C7C" w:rsidP="00AF2C7C">
            <w:pPr>
              <w:pStyle w:val="a9"/>
              <w:jc w:val="both"/>
              <w:rPr>
                <w:rFonts w:ascii="Times New Roman" w:hAnsi="Times New Roman"/>
                <w:sz w:val="28"/>
                <w:szCs w:val="28"/>
              </w:rPr>
            </w:pPr>
          </w:p>
        </w:tc>
      </w:tr>
      <w:tr w:rsidR="00AF2C7C" w:rsidRPr="00AF2C7C" w:rsidTr="00AF2C7C">
        <w:tc>
          <w:tcPr>
            <w:tcW w:w="4704" w:type="pct"/>
            <w:hideMark/>
          </w:tcPr>
          <w:p w:rsidR="00AF2C7C" w:rsidRPr="00AF2C7C" w:rsidRDefault="00AF2C7C" w:rsidP="00AF2C7C">
            <w:pPr>
              <w:pStyle w:val="a9"/>
              <w:jc w:val="both"/>
              <w:rPr>
                <w:rFonts w:ascii="Times New Roman" w:hAnsi="Times New Roman"/>
                <w:sz w:val="28"/>
                <w:szCs w:val="28"/>
              </w:rPr>
            </w:pPr>
            <w:r w:rsidRPr="00AF2C7C">
              <w:rPr>
                <w:rFonts w:ascii="Times New Roman" w:hAnsi="Times New Roman"/>
                <w:sz w:val="28"/>
                <w:szCs w:val="28"/>
              </w:rPr>
              <w:t xml:space="preserve">24000 Вінницька  область, вул. Академіка </w:t>
            </w:r>
          </w:p>
        </w:tc>
        <w:tc>
          <w:tcPr>
            <w:tcW w:w="296" w:type="pct"/>
          </w:tcPr>
          <w:p w:rsidR="00AF2C7C" w:rsidRPr="00AF2C7C" w:rsidRDefault="00AF2C7C" w:rsidP="00AF2C7C">
            <w:pPr>
              <w:pStyle w:val="a9"/>
              <w:jc w:val="both"/>
              <w:rPr>
                <w:rFonts w:ascii="Times New Roman" w:hAnsi="Times New Roman"/>
                <w:sz w:val="28"/>
                <w:szCs w:val="28"/>
              </w:rPr>
            </w:pPr>
          </w:p>
        </w:tc>
      </w:tr>
      <w:tr w:rsidR="00AF2C7C" w:rsidRPr="00AF2C7C" w:rsidTr="00AF2C7C">
        <w:tc>
          <w:tcPr>
            <w:tcW w:w="4704" w:type="pct"/>
          </w:tcPr>
          <w:p w:rsidR="00AF2C7C" w:rsidRPr="00AF2C7C" w:rsidRDefault="00AF2C7C" w:rsidP="00AF2C7C">
            <w:pPr>
              <w:pStyle w:val="a9"/>
              <w:jc w:val="both"/>
              <w:rPr>
                <w:rFonts w:ascii="Times New Roman" w:hAnsi="Times New Roman"/>
                <w:sz w:val="28"/>
                <w:szCs w:val="28"/>
              </w:rPr>
            </w:pPr>
            <w:r w:rsidRPr="00AF2C7C">
              <w:rPr>
                <w:rFonts w:ascii="Times New Roman" w:hAnsi="Times New Roman"/>
                <w:sz w:val="28"/>
                <w:szCs w:val="28"/>
              </w:rPr>
              <w:t xml:space="preserve">Заболотного, 19  , Телефон:6-50-72 </w:t>
            </w:r>
          </w:p>
        </w:tc>
        <w:tc>
          <w:tcPr>
            <w:tcW w:w="296" w:type="pct"/>
          </w:tcPr>
          <w:p w:rsidR="00AF2C7C" w:rsidRPr="00AF2C7C" w:rsidRDefault="00AF2C7C" w:rsidP="00AF2C7C">
            <w:pPr>
              <w:pStyle w:val="a9"/>
              <w:jc w:val="both"/>
              <w:rPr>
                <w:rFonts w:ascii="Times New Roman" w:hAnsi="Times New Roman"/>
                <w:sz w:val="28"/>
                <w:szCs w:val="28"/>
              </w:rPr>
            </w:pPr>
          </w:p>
        </w:tc>
      </w:tr>
      <w:tr w:rsidR="00AF2C7C" w:rsidRPr="00AF2C7C" w:rsidTr="00AF2C7C">
        <w:tc>
          <w:tcPr>
            <w:tcW w:w="4704" w:type="pct"/>
          </w:tcPr>
          <w:p w:rsidR="00AF2C7C" w:rsidRPr="00AF2C7C" w:rsidRDefault="00AF2C7C" w:rsidP="00AF2C7C">
            <w:pPr>
              <w:pStyle w:val="a9"/>
              <w:jc w:val="both"/>
              <w:rPr>
                <w:rFonts w:ascii="Times New Roman" w:hAnsi="Times New Roman"/>
                <w:sz w:val="28"/>
                <w:szCs w:val="28"/>
              </w:rPr>
            </w:pPr>
            <w:r w:rsidRPr="00AF2C7C">
              <w:rPr>
                <w:rFonts w:ascii="Times New Roman" w:hAnsi="Times New Roman"/>
                <w:sz w:val="28"/>
                <w:szCs w:val="28"/>
              </w:rPr>
              <w:t>р/р в АТ КБ «Приватбанк» UA573052990000026006006101632</w:t>
            </w:r>
          </w:p>
        </w:tc>
        <w:tc>
          <w:tcPr>
            <w:tcW w:w="296" w:type="pct"/>
          </w:tcPr>
          <w:p w:rsidR="00AF2C7C" w:rsidRPr="00AF2C7C" w:rsidRDefault="00AF2C7C" w:rsidP="00AF2C7C">
            <w:pPr>
              <w:pStyle w:val="a9"/>
              <w:jc w:val="both"/>
              <w:rPr>
                <w:rFonts w:ascii="Times New Roman" w:hAnsi="Times New Roman"/>
                <w:sz w:val="28"/>
                <w:szCs w:val="28"/>
              </w:rPr>
            </w:pPr>
          </w:p>
        </w:tc>
      </w:tr>
      <w:tr w:rsidR="00AF2C7C" w:rsidRPr="00AF2C7C" w:rsidTr="00AF2C7C">
        <w:tc>
          <w:tcPr>
            <w:tcW w:w="4704" w:type="pct"/>
          </w:tcPr>
          <w:p w:rsidR="00AF2C7C" w:rsidRPr="00AF2C7C" w:rsidRDefault="00AF2C7C" w:rsidP="00AF2C7C">
            <w:pPr>
              <w:pStyle w:val="a9"/>
              <w:jc w:val="both"/>
              <w:rPr>
                <w:rFonts w:ascii="Times New Roman" w:hAnsi="Times New Roman"/>
                <w:sz w:val="28"/>
                <w:szCs w:val="28"/>
              </w:rPr>
            </w:pPr>
            <w:r w:rsidRPr="00AF2C7C">
              <w:rPr>
                <w:rFonts w:ascii="Times New Roman" w:hAnsi="Times New Roman"/>
                <w:sz w:val="28"/>
                <w:szCs w:val="28"/>
              </w:rPr>
              <w:t>МФО 305299</w:t>
            </w:r>
          </w:p>
        </w:tc>
        <w:tc>
          <w:tcPr>
            <w:tcW w:w="296" w:type="pct"/>
          </w:tcPr>
          <w:p w:rsidR="00AF2C7C" w:rsidRPr="00AF2C7C" w:rsidRDefault="00AF2C7C" w:rsidP="00AF2C7C">
            <w:pPr>
              <w:pStyle w:val="a9"/>
              <w:jc w:val="both"/>
              <w:rPr>
                <w:rFonts w:ascii="Times New Roman" w:hAnsi="Times New Roman"/>
                <w:sz w:val="28"/>
                <w:szCs w:val="28"/>
              </w:rPr>
            </w:pPr>
          </w:p>
        </w:tc>
      </w:tr>
      <w:tr w:rsidR="00AF2C7C" w:rsidRPr="00AF2C7C" w:rsidTr="00AF2C7C">
        <w:tc>
          <w:tcPr>
            <w:tcW w:w="4704" w:type="pct"/>
          </w:tcPr>
          <w:p w:rsidR="00AF2C7C" w:rsidRPr="00AF2C7C" w:rsidRDefault="00AF2C7C" w:rsidP="00AF2C7C">
            <w:pPr>
              <w:pStyle w:val="a9"/>
              <w:jc w:val="both"/>
              <w:rPr>
                <w:rFonts w:ascii="Times New Roman" w:hAnsi="Times New Roman"/>
                <w:sz w:val="28"/>
                <w:szCs w:val="28"/>
              </w:rPr>
            </w:pPr>
            <w:r w:rsidRPr="00AF2C7C">
              <w:rPr>
                <w:rFonts w:ascii="Times New Roman" w:hAnsi="Times New Roman"/>
                <w:sz w:val="28"/>
                <w:szCs w:val="28"/>
              </w:rPr>
              <w:t>КОД  ЄДРПОУ 03338202</w:t>
            </w:r>
          </w:p>
        </w:tc>
        <w:tc>
          <w:tcPr>
            <w:tcW w:w="296" w:type="pct"/>
          </w:tcPr>
          <w:p w:rsidR="00AF2C7C" w:rsidRPr="00AF2C7C" w:rsidRDefault="00AF2C7C" w:rsidP="00AF2C7C">
            <w:pPr>
              <w:pStyle w:val="a9"/>
              <w:jc w:val="both"/>
              <w:rPr>
                <w:rFonts w:ascii="Times New Roman" w:hAnsi="Times New Roman"/>
                <w:sz w:val="28"/>
                <w:szCs w:val="28"/>
              </w:rPr>
            </w:pPr>
          </w:p>
        </w:tc>
      </w:tr>
      <w:tr w:rsidR="00AF2C7C" w:rsidRPr="00AF2C7C" w:rsidTr="00AF2C7C">
        <w:tc>
          <w:tcPr>
            <w:tcW w:w="4704" w:type="pct"/>
          </w:tcPr>
          <w:p w:rsidR="00AF2C7C" w:rsidRPr="00AF2C7C" w:rsidRDefault="00AF2C7C" w:rsidP="00AF2C7C">
            <w:pPr>
              <w:pStyle w:val="a9"/>
              <w:jc w:val="both"/>
              <w:rPr>
                <w:rFonts w:ascii="Times New Roman" w:hAnsi="Times New Roman"/>
                <w:sz w:val="28"/>
                <w:szCs w:val="28"/>
              </w:rPr>
            </w:pPr>
            <w:proofErr w:type="spellStart"/>
            <w:r w:rsidRPr="00AF2C7C">
              <w:rPr>
                <w:rFonts w:ascii="Times New Roman" w:hAnsi="Times New Roman"/>
                <w:sz w:val="28"/>
                <w:szCs w:val="28"/>
              </w:rPr>
              <w:t>Директор_________Сергій</w:t>
            </w:r>
            <w:proofErr w:type="spellEnd"/>
            <w:r w:rsidRPr="00AF2C7C">
              <w:rPr>
                <w:rFonts w:ascii="Times New Roman" w:hAnsi="Times New Roman"/>
                <w:sz w:val="28"/>
                <w:szCs w:val="28"/>
              </w:rPr>
              <w:t xml:space="preserve"> РИБАК</w:t>
            </w:r>
          </w:p>
        </w:tc>
        <w:tc>
          <w:tcPr>
            <w:tcW w:w="296" w:type="pct"/>
          </w:tcPr>
          <w:p w:rsidR="00AF2C7C" w:rsidRPr="00AF2C7C" w:rsidRDefault="00AF2C7C" w:rsidP="00AF2C7C">
            <w:pPr>
              <w:pStyle w:val="a9"/>
              <w:jc w:val="both"/>
              <w:rPr>
                <w:rFonts w:ascii="Times New Roman" w:hAnsi="Times New Roman"/>
                <w:sz w:val="28"/>
                <w:szCs w:val="28"/>
              </w:rPr>
            </w:pPr>
          </w:p>
        </w:tc>
      </w:tr>
    </w:tbl>
    <w:p w:rsidR="00521169" w:rsidRPr="00AF2C7C" w:rsidRDefault="006008D6" w:rsidP="00AF2C7C">
      <w:pPr>
        <w:pStyle w:val="a9"/>
        <w:jc w:val="both"/>
        <w:rPr>
          <w:rFonts w:ascii="Times New Roman" w:hAnsi="Times New Roman"/>
          <w:sz w:val="28"/>
          <w:szCs w:val="28"/>
        </w:rPr>
      </w:pPr>
    </w:p>
    <w:p w:rsidR="00744E5F" w:rsidRPr="00AF2C7C" w:rsidRDefault="00744E5F" w:rsidP="00AF2C7C">
      <w:pPr>
        <w:pStyle w:val="a9"/>
        <w:jc w:val="both"/>
        <w:rPr>
          <w:rFonts w:ascii="Times New Roman" w:hAnsi="Times New Roman"/>
          <w:sz w:val="28"/>
          <w:szCs w:val="28"/>
        </w:rPr>
      </w:pPr>
    </w:p>
    <w:p w:rsidR="00744E5F" w:rsidRPr="00AF2C7C" w:rsidRDefault="00744E5F" w:rsidP="00AF2C7C">
      <w:pPr>
        <w:pStyle w:val="a9"/>
        <w:jc w:val="both"/>
        <w:rPr>
          <w:rFonts w:ascii="Times New Roman" w:hAnsi="Times New Roman"/>
          <w:sz w:val="28"/>
          <w:szCs w:val="28"/>
        </w:rPr>
      </w:pPr>
    </w:p>
    <w:p w:rsidR="00744E5F" w:rsidRPr="00AF2C7C" w:rsidRDefault="00744E5F" w:rsidP="00AF2C7C">
      <w:pPr>
        <w:pStyle w:val="a9"/>
        <w:jc w:val="both"/>
        <w:rPr>
          <w:rFonts w:ascii="Times New Roman" w:hAnsi="Times New Roman"/>
          <w:sz w:val="28"/>
          <w:szCs w:val="28"/>
        </w:rPr>
      </w:pPr>
    </w:p>
    <w:p w:rsidR="00744E5F" w:rsidRPr="00AF2C7C" w:rsidRDefault="00744E5F" w:rsidP="00AF2C7C">
      <w:pPr>
        <w:pStyle w:val="a9"/>
        <w:jc w:val="both"/>
        <w:rPr>
          <w:rFonts w:ascii="Times New Roman" w:hAnsi="Times New Roman"/>
          <w:sz w:val="28"/>
          <w:szCs w:val="28"/>
        </w:rPr>
      </w:pPr>
    </w:p>
    <w:p w:rsidR="00744E5F" w:rsidRPr="00AF2C7C" w:rsidRDefault="00744E5F" w:rsidP="00AF2C7C">
      <w:pPr>
        <w:pStyle w:val="a9"/>
        <w:jc w:val="both"/>
        <w:rPr>
          <w:rFonts w:ascii="Times New Roman" w:hAnsi="Times New Roman"/>
          <w:sz w:val="28"/>
          <w:szCs w:val="28"/>
        </w:rPr>
      </w:pPr>
    </w:p>
    <w:p w:rsidR="00744E5F" w:rsidRPr="00AF2C7C" w:rsidRDefault="00744E5F" w:rsidP="00AF2C7C">
      <w:pPr>
        <w:pStyle w:val="a9"/>
        <w:jc w:val="both"/>
        <w:rPr>
          <w:rFonts w:ascii="Times New Roman" w:hAnsi="Times New Roman"/>
          <w:sz w:val="28"/>
          <w:szCs w:val="28"/>
        </w:rPr>
      </w:pPr>
    </w:p>
    <w:p w:rsidR="00744E5F" w:rsidRPr="00AF2C7C" w:rsidRDefault="00744E5F" w:rsidP="00AF2C7C">
      <w:pPr>
        <w:pStyle w:val="a9"/>
        <w:jc w:val="both"/>
        <w:rPr>
          <w:rFonts w:ascii="Times New Roman" w:hAnsi="Times New Roman"/>
          <w:sz w:val="28"/>
          <w:szCs w:val="28"/>
        </w:rPr>
      </w:pPr>
    </w:p>
    <w:p w:rsidR="00744E5F" w:rsidRPr="00AF2C7C" w:rsidRDefault="00744E5F" w:rsidP="00AF2C7C">
      <w:pPr>
        <w:pStyle w:val="a9"/>
        <w:jc w:val="both"/>
        <w:rPr>
          <w:rFonts w:ascii="Times New Roman" w:hAnsi="Times New Roman"/>
          <w:sz w:val="28"/>
          <w:szCs w:val="28"/>
        </w:rPr>
      </w:pPr>
    </w:p>
    <w:p w:rsidR="00744E5F" w:rsidRPr="00AF2C7C" w:rsidRDefault="00744E5F" w:rsidP="00AF2C7C">
      <w:pPr>
        <w:pStyle w:val="a9"/>
        <w:jc w:val="both"/>
        <w:rPr>
          <w:rFonts w:ascii="Times New Roman" w:hAnsi="Times New Roman"/>
          <w:sz w:val="28"/>
          <w:szCs w:val="28"/>
        </w:rPr>
      </w:pPr>
    </w:p>
    <w:p w:rsidR="004F7C72" w:rsidRPr="00AF2C7C" w:rsidRDefault="004F7C72" w:rsidP="00AF2C7C">
      <w:pPr>
        <w:pStyle w:val="a9"/>
        <w:jc w:val="both"/>
        <w:rPr>
          <w:rFonts w:ascii="Times New Roman" w:hAnsi="Times New Roman"/>
          <w:sz w:val="28"/>
          <w:szCs w:val="28"/>
        </w:rPr>
      </w:pPr>
    </w:p>
    <w:p w:rsidR="00005466" w:rsidRDefault="00005466" w:rsidP="00AF2C7C">
      <w:pPr>
        <w:pStyle w:val="a9"/>
        <w:jc w:val="both"/>
        <w:rPr>
          <w:rFonts w:ascii="Times New Roman" w:hAnsi="Times New Roman"/>
          <w:sz w:val="28"/>
          <w:szCs w:val="28"/>
        </w:rPr>
      </w:pPr>
    </w:p>
    <w:p w:rsidR="00005466" w:rsidRDefault="00005466" w:rsidP="00AF2C7C">
      <w:pPr>
        <w:pStyle w:val="a9"/>
        <w:jc w:val="both"/>
        <w:rPr>
          <w:rFonts w:ascii="Times New Roman" w:hAnsi="Times New Roman"/>
          <w:sz w:val="28"/>
          <w:szCs w:val="28"/>
        </w:rPr>
      </w:pPr>
    </w:p>
    <w:sectPr w:rsidR="00005466" w:rsidSect="00AF2C7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4D"/>
    <w:rsid w:val="00005466"/>
    <w:rsid w:val="00206771"/>
    <w:rsid w:val="003E74C4"/>
    <w:rsid w:val="004F0F3F"/>
    <w:rsid w:val="004F7C72"/>
    <w:rsid w:val="005758CC"/>
    <w:rsid w:val="005A6374"/>
    <w:rsid w:val="005D5D7A"/>
    <w:rsid w:val="006008D6"/>
    <w:rsid w:val="006115DE"/>
    <w:rsid w:val="00615D78"/>
    <w:rsid w:val="00643603"/>
    <w:rsid w:val="00744E5F"/>
    <w:rsid w:val="007C0A41"/>
    <w:rsid w:val="00A7096F"/>
    <w:rsid w:val="00AA1836"/>
    <w:rsid w:val="00AF2C7C"/>
    <w:rsid w:val="00C83CF0"/>
    <w:rsid w:val="00DE294D"/>
    <w:rsid w:val="00FF2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2B93"/>
  <w15:docId w15:val="{1030DEE7-B36F-4DB8-94D8-FC1DA58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і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character" w:customStyle="1" w:styleId="st42">
    <w:name w:val="st42"/>
    <w:uiPriority w:val="99"/>
    <w:rsid w:val="00643603"/>
    <w:rPr>
      <w:color w:val="000000"/>
    </w:rPr>
  </w:style>
  <w:style w:type="character" w:styleId="a8">
    <w:name w:val="Unresolved Mention"/>
    <w:basedOn w:val="a0"/>
    <w:uiPriority w:val="99"/>
    <w:semiHidden/>
    <w:unhideWhenUsed/>
    <w:rsid w:val="00AF2C7C"/>
    <w:rPr>
      <w:color w:val="605E5C"/>
      <w:shd w:val="clear" w:color="auto" w:fill="E1DFDD"/>
    </w:rPr>
  </w:style>
  <w:style w:type="paragraph" w:styleId="a9">
    <w:name w:val="No Spacing"/>
    <w:uiPriority w:val="1"/>
    <w:qFormat/>
    <w:rsid w:val="00AF2C7C"/>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mr.gov.ua/" TargetMode="External"/><Relationship Id="rId5" Type="http://schemas.openxmlformats.org/officeDocument/2006/relationships/hyperlink" Target="https://mpmr.gov.ua/" TargetMode="External"/><Relationship Id="rId4" Type="http://schemas.openxmlformats.org/officeDocument/2006/relationships/hyperlink" Target="https://mp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4386</Words>
  <Characters>25006</Characters>
  <Application>Microsoft Office Word</Application>
  <DocSecurity>0</DocSecurity>
  <Lines>208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4</cp:revision>
  <dcterms:created xsi:type="dcterms:W3CDTF">2024-02-06T13:52:00Z</dcterms:created>
  <dcterms:modified xsi:type="dcterms:W3CDTF">2024-02-06T13:56:00Z</dcterms:modified>
</cp:coreProperties>
</file>