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9C" w:rsidRPr="00B02DBF" w:rsidRDefault="00A8129C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A8129C" w:rsidRPr="00A8129C" w:rsidRDefault="00A8129C" w:rsidP="00A812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129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9C" w:rsidRPr="00A8129C" w:rsidRDefault="00A8129C" w:rsidP="00A812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8129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A8129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A812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A812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A8129C" w:rsidRPr="00A8129C" w:rsidRDefault="00A8129C" w:rsidP="00A812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A812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8129C" w:rsidRPr="00A8129C" w:rsidRDefault="00A8129C" w:rsidP="00A8129C">
      <w:pPr>
        <w:tabs>
          <w:tab w:val="left" w:pos="567"/>
        </w:tabs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A8129C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530126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.6pt,9.65pt" to="501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A8129C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A8129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№18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4</w:t>
      </w:r>
    </w:p>
    <w:p w:rsidR="00A8129C" w:rsidRDefault="00A8129C" w:rsidP="00A8129C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812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27.06.2022р.                                              м. Могилів-Подільський</w:t>
      </w:r>
    </w:p>
    <w:p w:rsidR="00A8129C" w:rsidRPr="00A8129C" w:rsidRDefault="00A8129C" w:rsidP="00A8129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5E364B" w:rsidRDefault="005E364B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DC30E2" w:rsidRDefault="00DC30E2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5E364B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1A20E3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="00395345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«</w:t>
      </w:r>
      <w:r w:rsidR="004501C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Програми соціального захисту та соціальної підтримки ветеранів, </w:t>
      </w:r>
    </w:p>
    <w:p w:rsidR="00DC30E2" w:rsidRDefault="004501C8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осіб з інвалідністю, одиноких пенсіонерів, </w:t>
      </w:r>
    </w:p>
    <w:p w:rsidR="00DC30E2" w:rsidRDefault="004501C8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малозабезпечених верств населення </w:t>
      </w:r>
    </w:p>
    <w:p w:rsidR="005E364B" w:rsidRPr="00916315" w:rsidRDefault="004501C8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на 2022-2024 роки»</w:t>
      </w:r>
    </w:p>
    <w:p w:rsidR="005E364B" w:rsidRPr="00B02DBF" w:rsidRDefault="005E364B" w:rsidP="00B02D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E364B" w:rsidRDefault="005E364B" w:rsidP="00A8129C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A812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0A1D49" w:rsidRPr="006239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 w:rsidR="00DC30E2">
        <w:rPr>
          <w:rFonts w:ascii="Times New Roman" w:hAnsi="Times New Roman"/>
          <w:sz w:val="28"/>
          <w:szCs w:val="28"/>
          <w:lang w:val="uk-UA"/>
        </w:rPr>
        <w:t>з</w:t>
      </w:r>
      <w:r w:rsidR="004501C8" w:rsidRPr="004501C8">
        <w:rPr>
          <w:rFonts w:ascii="Times New Roman" w:hAnsi="Times New Roman"/>
          <w:sz w:val="28"/>
          <w:szCs w:val="28"/>
          <w:lang w:val="uk-UA"/>
        </w:rPr>
        <w:t>аконами України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«Про основи соціальної захищеності осіб з інвалідністю в Україні»</w:t>
      </w:r>
      <w:r w:rsidR="004501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постанов</w:t>
      </w:r>
      <w:r w:rsidR="00126B9C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ою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Кабінету </w:t>
      </w:r>
      <w:r w:rsidR="00961DC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іністрі</w:t>
      </w:r>
      <w:r w:rsidR="00961DC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 України від 11.03.2022 року №</w:t>
      </w:r>
      <w:r w:rsidR="00C83124" w:rsidRP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252 «Деякі питання формування та виконання місцевих бюджетів у період воєнного стану»</w:t>
      </w:r>
      <w:r w:rsidR="00C831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,</w:t>
      </w:r>
      <w:r w:rsidR="00C83124" w:rsidRPr="00D00315">
        <w:rPr>
          <w:color w:val="000000"/>
          <w:spacing w:val="1"/>
          <w:sz w:val="28"/>
          <w:szCs w:val="28"/>
          <w:lang w:val="uk-UA"/>
        </w:rPr>
        <w:t xml:space="preserve"> </w:t>
      </w:r>
      <w:r w:rsidRPr="00623900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4501C8" w:rsidRPr="00623900" w:rsidRDefault="004501C8" w:rsidP="00623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83124" w:rsidRDefault="00C83124" w:rsidP="00C83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виконком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міської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ради ВИРІШИВ:</w:t>
      </w:r>
    </w:p>
    <w:p w:rsidR="007D7B9B" w:rsidRPr="00970231" w:rsidRDefault="007D7B9B" w:rsidP="00C8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A8129C" w:rsidRDefault="004501C8" w:rsidP="00A8129C">
      <w:pPr>
        <w:pStyle w:val="ab"/>
        <w:numPr>
          <w:ilvl w:val="0"/>
          <w:numId w:val="3"/>
        </w:numPr>
        <w:tabs>
          <w:tab w:val="left" w:pos="284"/>
        </w:tabs>
        <w:spacing w:line="240" w:lineRule="auto"/>
        <w:ind w:left="142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</w:t>
      </w:r>
      <w:r w:rsidR="00A8129C">
        <w:rPr>
          <w:rFonts w:ascii="Times New Roman" w:hAnsi="Times New Roman"/>
          <w:sz w:val="28"/>
          <w:szCs w:val="28"/>
          <w:lang w:val="uk-UA"/>
        </w:rPr>
        <w:t>ради 8 скликання від 23.12.2021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:rsidR="00961DCF" w:rsidRDefault="00A8129C" w:rsidP="00A8129C">
      <w:pPr>
        <w:pStyle w:val="ab"/>
        <w:tabs>
          <w:tab w:val="left" w:pos="284"/>
        </w:tabs>
        <w:spacing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01C8">
        <w:rPr>
          <w:rFonts w:ascii="Times New Roman" w:hAnsi="Times New Roman"/>
          <w:sz w:val="28"/>
          <w:szCs w:val="28"/>
          <w:lang w:val="uk-UA"/>
        </w:rPr>
        <w:t xml:space="preserve">№ 435 «Про затвердження Програми соціального захисту та соціальної </w:t>
      </w:r>
    </w:p>
    <w:p w:rsidR="00961DCF" w:rsidRDefault="00961DCF" w:rsidP="00A8129C">
      <w:pPr>
        <w:pStyle w:val="ab"/>
        <w:tabs>
          <w:tab w:val="left" w:pos="284"/>
        </w:tabs>
        <w:spacing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01C8">
        <w:rPr>
          <w:rFonts w:ascii="Times New Roman" w:hAnsi="Times New Roman"/>
          <w:sz w:val="28"/>
          <w:szCs w:val="28"/>
          <w:lang w:val="uk-UA"/>
        </w:rPr>
        <w:t xml:space="preserve">підтримки ветеранів, осіб з інвалідністю, одиноких пенсіонерів, </w:t>
      </w:r>
    </w:p>
    <w:p w:rsidR="004501C8" w:rsidRDefault="00961DCF" w:rsidP="00A8129C">
      <w:pPr>
        <w:pStyle w:val="ab"/>
        <w:tabs>
          <w:tab w:val="left" w:pos="284"/>
        </w:tabs>
        <w:spacing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01C8">
        <w:rPr>
          <w:rFonts w:ascii="Times New Roman" w:hAnsi="Times New Roman"/>
          <w:sz w:val="28"/>
          <w:szCs w:val="28"/>
          <w:lang w:val="uk-UA"/>
        </w:rPr>
        <w:t xml:space="preserve">малозабезпечених верств населення на 2022-2024 роки», а саме: </w:t>
      </w:r>
    </w:p>
    <w:p w:rsidR="00A61ACC" w:rsidRDefault="004501C8" w:rsidP="00A61ACC">
      <w:pPr>
        <w:pStyle w:val="ab"/>
        <w:numPr>
          <w:ilvl w:val="1"/>
          <w:numId w:val="3"/>
        </w:numPr>
        <w:spacing w:line="240" w:lineRule="auto"/>
        <w:ind w:left="851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додатку </w:t>
      </w:r>
      <w:r w:rsidR="006E1F9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«Заходи Програми» розділ 2 «Соціальний захист осіб з інвалі</w:t>
      </w:r>
      <w:r w:rsidR="00432EF2">
        <w:rPr>
          <w:rFonts w:ascii="Times New Roman" w:hAnsi="Times New Roman"/>
          <w:sz w:val="28"/>
          <w:szCs w:val="28"/>
          <w:lang w:val="uk-UA"/>
        </w:rPr>
        <w:t xml:space="preserve">дністю» доповнити пунктами 2.10, 2.11 </w:t>
      </w:r>
      <w:r>
        <w:rPr>
          <w:rFonts w:ascii="Times New Roman" w:hAnsi="Times New Roman"/>
          <w:sz w:val="28"/>
          <w:szCs w:val="28"/>
          <w:lang w:val="uk-UA"/>
        </w:rPr>
        <w:t>наступного змісту:</w:t>
      </w:r>
    </w:p>
    <w:p w:rsidR="00A61ACC" w:rsidRPr="00A61ACC" w:rsidRDefault="00A61ACC" w:rsidP="00A61ACC">
      <w:pPr>
        <w:pStyle w:val="ab"/>
        <w:spacing w:line="240" w:lineRule="auto"/>
        <w:ind w:left="851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275"/>
        <w:gridCol w:w="852"/>
        <w:gridCol w:w="849"/>
        <w:gridCol w:w="993"/>
        <w:gridCol w:w="1701"/>
      </w:tblGrid>
      <w:tr w:rsidR="004501C8" w:rsidTr="00961DCF">
        <w:trPr>
          <w:trHeight w:val="255"/>
        </w:trPr>
        <w:tc>
          <w:tcPr>
            <w:tcW w:w="709" w:type="dxa"/>
            <w:vMerge w:val="restart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1701" w:type="dxa"/>
            <w:vMerge w:val="restart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Категорії осіб отримувачів соціальних допомог</w:t>
            </w:r>
          </w:p>
        </w:tc>
        <w:tc>
          <w:tcPr>
            <w:tcW w:w="1275" w:type="dxa"/>
            <w:vMerge w:val="restart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Строк </w:t>
            </w:r>
            <w:proofErr w:type="spellStart"/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</w:t>
            </w:r>
            <w:r w:rsidR="00A61A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ня</w:t>
            </w:r>
            <w:proofErr w:type="spellEnd"/>
          </w:p>
        </w:tc>
        <w:tc>
          <w:tcPr>
            <w:tcW w:w="2694" w:type="dxa"/>
            <w:gridSpan w:val="3"/>
          </w:tcPr>
          <w:p w:rsid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Орієнтовані обсяги фінансування </w:t>
            </w:r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 роках </w:t>
            </w:r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vMerge w:val="restart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 ходу Програми</w:t>
            </w:r>
          </w:p>
        </w:tc>
      </w:tr>
      <w:tr w:rsidR="004501C8" w:rsidTr="00961DCF">
        <w:trPr>
          <w:trHeight w:val="255"/>
        </w:trPr>
        <w:tc>
          <w:tcPr>
            <w:tcW w:w="709" w:type="dxa"/>
            <w:vMerge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4501C8" w:rsidRPr="00961DCF" w:rsidRDefault="004501C8" w:rsidP="00961DCF">
            <w:pPr>
              <w:pStyle w:val="ab"/>
              <w:spacing w:line="240" w:lineRule="auto"/>
              <w:ind w:left="0" w:right="-10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2022р</w:t>
            </w:r>
            <w:r w:rsid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49" w:type="dxa"/>
          </w:tcPr>
          <w:p w:rsidR="004501C8" w:rsidRPr="00961DCF" w:rsidRDefault="004501C8" w:rsidP="00961DCF">
            <w:pPr>
              <w:pStyle w:val="ab"/>
              <w:spacing w:line="240" w:lineRule="auto"/>
              <w:ind w:left="0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2023р</w:t>
            </w:r>
            <w:r w:rsid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</w:tcPr>
          <w:p w:rsidR="004501C8" w:rsidRPr="00961DCF" w:rsidRDefault="004501C8" w:rsidP="00961DCF">
            <w:pPr>
              <w:pStyle w:val="ab"/>
              <w:spacing w:line="240" w:lineRule="auto"/>
              <w:ind w:left="0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2024р</w:t>
            </w:r>
            <w:r w:rsidR="00961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Merge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01C8" w:rsidRPr="00DD3F20" w:rsidTr="00961DCF">
        <w:tc>
          <w:tcPr>
            <w:tcW w:w="709" w:type="dxa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2.10</w:t>
            </w:r>
            <w:r w:rsidR="00961D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безкоштовни</w:t>
            </w:r>
            <w:r w:rsidR="00961D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proofErr w:type="spellEnd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ліками та </w:t>
            </w: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зубопротезу</w:t>
            </w:r>
            <w:r w:rsidR="00961D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End"/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ванням</w:t>
            </w:r>
            <w:proofErr w:type="spellEnd"/>
          </w:p>
        </w:tc>
        <w:tc>
          <w:tcPr>
            <w:tcW w:w="1701" w:type="dxa"/>
          </w:tcPr>
          <w:p w:rsidR="00A61ACC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Особи, які постраждали внаслідок </w:t>
            </w: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Чорнобильсь</w:t>
            </w:r>
            <w:r w:rsidR="00A61AC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End"/>
          </w:p>
          <w:p w:rsidR="00A61ACC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кої</w:t>
            </w:r>
            <w:proofErr w:type="spellEnd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катастрофи </w:t>
            </w:r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="00A61A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="00A61A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категорій та потерпілі діти</w:t>
            </w:r>
          </w:p>
        </w:tc>
        <w:tc>
          <w:tcPr>
            <w:tcW w:w="1275" w:type="dxa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Щорічно</w:t>
            </w:r>
          </w:p>
        </w:tc>
        <w:tc>
          <w:tcPr>
            <w:tcW w:w="852" w:type="dxa"/>
          </w:tcPr>
          <w:p w:rsidR="004501C8" w:rsidRPr="00961DCF" w:rsidRDefault="004501C8" w:rsidP="00961DCF">
            <w:pPr>
              <w:pStyle w:val="ab"/>
              <w:spacing w:line="240" w:lineRule="auto"/>
              <w:ind w:left="-24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="00961DCF" w:rsidRPr="00961DCF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4501C8" w:rsidRPr="00961DCF" w:rsidRDefault="004501C8" w:rsidP="00961DC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="00961DCF" w:rsidRPr="00961DCF">
              <w:rPr>
                <w:rFonts w:ascii="Times New Roman" w:hAnsi="Times New Roman"/>
                <w:sz w:val="24"/>
                <w:szCs w:val="24"/>
                <w:lang w:val="uk-UA"/>
              </w:rPr>
              <w:t>160</w:t>
            </w:r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="00961DCF" w:rsidRPr="00961DCF">
              <w:rPr>
                <w:rFonts w:ascii="Times New Roman" w:hAnsi="Times New Roman"/>
                <w:sz w:val="24"/>
                <w:szCs w:val="24"/>
                <w:lang w:val="uk-UA"/>
              </w:rPr>
              <w:t>483</w:t>
            </w:r>
            <w:r w:rsid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міської ради, аптечні </w:t>
            </w: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заклади міста, </w:t>
            </w:r>
          </w:p>
          <w:p w:rsidR="00DD3F20" w:rsidRDefault="00432EF2" w:rsidP="00432E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</w:t>
            </w:r>
            <w:r w:rsidR="004501C8"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«Могилів-Подільська міська </w:t>
            </w:r>
            <w:proofErr w:type="spellStart"/>
            <w:r w:rsidR="00DD3F20">
              <w:rPr>
                <w:rFonts w:ascii="Times New Roman" w:hAnsi="Times New Roman"/>
                <w:sz w:val="24"/>
                <w:szCs w:val="24"/>
                <w:lang w:val="uk-UA"/>
              </w:rPr>
              <w:t>стоматоло-</w:t>
            </w:r>
            <w:proofErr w:type="spellEnd"/>
          </w:p>
          <w:p w:rsidR="00432EF2" w:rsidRDefault="004501C8" w:rsidP="00DD3F2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гічна</w:t>
            </w:r>
            <w:proofErr w:type="spellEnd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поліклініка»</w:t>
            </w:r>
          </w:p>
          <w:p w:rsidR="004501C8" w:rsidRPr="00961DCF" w:rsidRDefault="00432EF2" w:rsidP="00432EF2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Могилів –</w:t>
            </w:r>
            <w:r w:rsidR="00DD3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Подільської міської ради</w:t>
            </w:r>
            <w:r w:rsidR="004501C8"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501C8" w:rsidRPr="00924041" w:rsidTr="00961DCF">
        <w:tc>
          <w:tcPr>
            <w:tcW w:w="709" w:type="dxa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2.11.</w:t>
            </w:r>
          </w:p>
        </w:tc>
        <w:tc>
          <w:tcPr>
            <w:tcW w:w="1701" w:type="dxa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Виплата компенсації на бензин, ремонт і технічне </w:t>
            </w: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</w:t>
            </w:r>
            <w:r w:rsidR="00961D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автомобілів та транспортне </w:t>
            </w:r>
            <w:proofErr w:type="spellStart"/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</w:t>
            </w:r>
            <w:r w:rsidR="00961D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</w:p>
        </w:tc>
        <w:tc>
          <w:tcPr>
            <w:tcW w:w="1701" w:type="dxa"/>
          </w:tcPr>
          <w:p w:rsid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 </w:t>
            </w:r>
          </w:p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інвалідністю </w:t>
            </w:r>
          </w:p>
        </w:tc>
        <w:tc>
          <w:tcPr>
            <w:tcW w:w="1275" w:type="dxa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852" w:type="dxa"/>
          </w:tcPr>
          <w:p w:rsidR="004501C8" w:rsidRPr="00961DCF" w:rsidRDefault="00961DCF" w:rsidP="00961DCF">
            <w:pPr>
              <w:pStyle w:val="ab"/>
              <w:spacing w:line="240" w:lineRule="auto"/>
              <w:ind w:left="-246" w:firstLine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4501C8" w:rsidRPr="00961DCF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849" w:type="dxa"/>
          </w:tcPr>
          <w:p w:rsidR="004501C8" w:rsidRPr="00961DCF" w:rsidRDefault="00961DCF" w:rsidP="00961DCF">
            <w:pPr>
              <w:pStyle w:val="ab"/>
              <w:spacing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="004501C8" w:rsidRPr="00961DCF">
              <w:rPr>
                <w:rFonts w:ascii="Times New Roman" w:hAnsi="Times New Roman"/>
                <w:sz w:val="24"/>
                <w:szCs w:val="24"/>
                <w:lang w:val="uk-UA"/>
              </w:rPr>
              <w:t>769</w:t>
            </w:r>
          </w:p>
        </w:tc>
        <w:tc>
          <w:tcPr>
            <w:tcW w:w="993" w:type="dxa"/>
          </w:tcPr>
          <w:p w:rsidR="004501C8" w:rsidRPr="00961DCF" w:rsidRDefault="00961DCF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="004501C8" w:rsidRPr="00961DCF">
              <w:rPr>
                <w:rFonts w:ascii="Times New Roman" w:hAnsi="Times New Roman"/>
                <w:sz w:val="24"/>
                <w:szCs w:val="24"/>
                <w:lang w:val="uk-UA"/>
              </w:rPr>
              <w:t>457</w:t>
            </w:r>
          </w:p>
        </w:tc>
        <w:tc>
          <w:tcPr>
            <w:tcW w:w="1701" w:type="dxa"/>
          </w:tcPr>
          <w:p w:rsidR="004501C8" w:rsidRPr="00961DCF" w:rsidRDefault="004501C8" w:rsidP="00EC48C6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DC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</w:tbl>
    <w:p w:rsidR="004501C8" w:rsidRDefault="004501C8" w:rsidP="004501C8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501C8" w:rsidRPr="00555986" w:rsidRDefault="004501C8" w:rsidP="00961DCF">
      <w:pPr>
        <w:pStyle w:val="ab"/>
        <w:numPr>
          <w:ilvl w:val="1"/>
          <w:numId w:val="3"/>
        </w:numPr>
        <w:spacing w:line="240" w:lineRule="auto"/>
        <w:ind w:left="426" w:hanging="568"/>
        <w:rPr>
          <w:rFonts w:ascii="Times New Roman" w:hAnsi="Times New Roman"/>
          <w:sz w:val="28"/>
          <w:szCs w:val="28"/>
          <w:lang w:val="uk-UA"/>
        </w:rPr>
      </w:pPr>
      <w:r w:rsidRPr="00555986">
        <w:rPr>
          <w:rFonts w:ascii="Times New Roman" w:hAnsi="Times New Roman"/>
          <w:sz w:val="28"/>
          <w:szCs w:val="28"/>
          <w:lang w:val="uk-UA"/>
        </w:rPr>
        <w:t>Затвердити Порядок забезпечення безкоштовними ліками та зубопротезуванням громадян, які постраждали внаслідок Чорнобильської катастрофи, віднесених до категорії 1,</w:t>
      </w:r>
      <w:r w:rsidR="00961D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986">
        <w:rPr>
          <w:rFonts w:ascii="Times New Roman" w:hAnsi="Times New Roman"/>
          <w:sz w:val="28"/>
          <w:szCs w:val="28"/>
          <w:lang w:val="uk-UA"/>
        </w:rPr>
        <w:t>2,</w:t>
      </w:r>
      <w:r w:rsidR="00961D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986">
        <w:rPr>
          <w:rFonts w:ascii="Times New Roman" w:hAnsi="Times New Roman"/>
          <w:sz w:val="28"/>
          <w:szCs w:val="28"/>
          <w:lang w:val="uk-UA"/>
        </w:rPr>
        <w:t>3 та потерпілих дітей за рахунок коштів бюджету Могилів-Подільської міської територіальної громади Могилів-Подільського району Вінницької області та обла</w:t>
      </w:r>
      <w:r>
        <w:rPr>
          <w:rFonts w:ascii="Times New Roman" w:hAnsi="Times New Roman"/>
          <w:sz w:val="28"/>
          <w:szCs w:val="28"/>
          <w:lang w:val="uk-UA"/>
        </w:rPr>
        <w:t xml:space="preserve">сного бюджету згідно з </w:t>
      </w:r>
      <w:r w:rsidR="00961DCF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одатком.</w:t>
      </w:r>
    </w:p>
    <w:p w:rsidR="004501C8" w:rsidRDefault="004501C8" w:rsidP="00961DCF">
      <w:pPr>
        <w:pStyle w:val="ab"/>
        <w:numPr>
          <w:ilvl w:val="0"/>
          <w:numId w:val="3"/>
        </w:numPr>
        <w:spacing w:line="240" w:lineRule="auto"/>
        <w:ind w:left="142" w:hanging="284"/>
        <w:rPr>
          <w:rFonts w:ascii="Times New Roman" w:hAnsi="Times New Roman"/>
          <w:sz w:val="28"/>
          <w:szCs w:val="28"/>
          <w:lang w:val="uk-UA"/>
        </w:rPr>
      </w:pPr>
      <w:r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даного рішення покласти на заступника міського голови з питань діяльності виконавчих органів Слободянюка М.В.</w:t>
      </w:r>
      <w:r w:rsidR="00961DCF">
        <w:rPr>
          <w:rFonts w:ascii="Times New Roman" w:hAnsi="Times New Roman"/>
          <w:sz w:val="28"/>
          <w:szCs w:val="28"/>
          <w:lang w:val="uk-UA"/>
        </w:rPr>
        <w:t>.</w:t>
      </w:r>
    </w:p>
    <w:p w:rsidR="00961DCF" w:rsidRDefault="00961DCF" w:rsidP="00961DC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1DCF" w:rsidRPr="00961DCF" w:rsidRDefault="00961DCF" w:rsidP="00961DC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01C8" w:rsidRDefault="004501C8" w:rsidP="004501C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Геннадій ГЛУХМАНЮК</w:t>
      </w:r>
    </w:p>
    <w:p w:rsidR="004501C8" w:rsidRDefault="004501C8" w:rsidP="004501C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6E1F9D" w:rsidRDefault="006E1F9D" w:rsidP="008D03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961DCF" w:rsidRDefault="00961DCF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61DCF" w:rsidRDefault="00961DCF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61DCF" w:rsidRDefault="00961DCF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61DCF" w:rsidRDefault="00961DCF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61DCF" w:rsidRDefault="00961DCF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61DCF" w:rsidRDefault="00961DCF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61DCF" w:rsidRDefault="00961DCF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61ACC" w:rsidRDefault="00A61ACC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61ACC" w:rsidRDefault="00A61ACC" w:rsidP="008D0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038A3" w:rsidRDefault="00E038A3" w:rsidP="00A61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B67" w:rsidRDefault="00C61B67" w:rsidP="00A61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B67" w:rsidRDefault="00C61B67" w:rsidP="00A61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B67" w:rsidRDefault="00C61B67" w:rsidP="00A61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B67" w:rsidRDefault="00C61B67" w:rsidP="00A61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1B67" w:rsidRDefault="00C61B67" w:rsidP="00A61ACC">
      <w:pPr>
        <w:spacing w:after="0" w:line="240" w:lineRule="auto"/>
        <w:rPr>
          <w:lang w:val="uk-UA"/>
        </w:rPr>
      </w:pPr>
    </w:p>
    <w:p w:rsidR="00E038A3" w:rsidRDefault="00E038A3" w:rsidP="00E038A3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038A3" w:rsidRPr="000B28B6" w:rsidRDefault="00E038A3" w:rsidP="00E038A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E038A3" w:rsidRPr="000B28B6" w:rsidRDefault="00E038A3" w:rsidP="00E038A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:rsidR="00E038A3" w:rsidRPr="000B28B6" w:rsidRDefault="00E038A3" w:rsidP="00E038A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C61B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8B6">
        <w:rPr>
          <w:rFonts w:ascii="Times New Roman" w:hAnsi="Times New Roman"/>
          <w:sz w:val="28"/>
          <w:szCs w:val="28"/>
          <w:lang w:val="uk-UA"/>
        </w:rPr>
        <w:t>комітету</w:t>
      </w:r>
      <w:r w:rsidRPr="00E038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8B6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E038A3" w:rsidRPr="000B28B6" w:rsidRDefault="00E038A3" w:rsidP="00E038A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C61B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27.0</w:t>
      </w:r>
      <w:r w:rsidR="00432EF2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B28B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184</w:t>
      </w:r>
    </w:p>
    <w:p w:rsidR="00E038A3" w:rsidRDefault="00E038A3" w:rsidP="00E0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038A3" w:rsidRDefault="00E038A3" w:rsidP="00E0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038A3" w:rsidRPr="00DF6E67" w:rsidRDefault="00E038A3" w:rsidP="00E0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ПОРЯДОК</w:t>
      </w:r>
    </w:p>
    <w:p w:rsidR="00E038A3" w:rsidRDefault="00E038A3" w:rsidP="00E0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забезпечен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ня безкоштовними ліками та зубопротезуванням 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громадян, </w:t>
      </w:r>
    </w:p>
    <w:p w:rsidR="00E038A3" w:rsidRDefault="00E038A3" w:rsidP="00E0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які постраждали внаслідок Чорнобильської катастрофи, </w:t>
      </w:r>
    </w:p>
    <w:p w:rsidR="00E038A3" w:rsidRDefault="00E038A3" w:rsidP="00E0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ві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днесених до категорії  1, 2, 3 та потерпілих дітей за рахунок 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коштів бюджету Могилів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Подільської міської територіальної громади </w:t>
      </w:r>
    </w:p>
    <w:p w:rsidR="00E038A3" w:rsidRPr="00DF6E67" w:rsidRDefault="00E038A3" w:rsidP="00E03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Могилів-Подільсько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го району Вінницької області та обласного 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бюджету</w:t>
      </w:r>
    </w:p>
    <w:p w:rsidR="00E038A3" w:rsidRPr="00DF6E67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038A3" w:rsidRPr="00E038A3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І. </w:t>
      </w: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ЗАГАЛЬНІ ПОЛОЖЕННЯ </w:t>
      </w:r>
    </w:p>
    <w:p w:rsidR="00E038A3" w:rsidRPr="00B54709" w:rsidRDefault="00E038A3" w:rsidP="00E038A3">
      <w:pPr>
        <w:pStyle w:val="ab"/>
        <w:spacing w:after="0" w:line="240" w:lineRule="auto"/>
        <w:ind w:left="402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1.1.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Цей Порядок визначає умови та механізм заб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езпечення безкоштовними ліками та зубопротезуванням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громадян, які постраждали внаслідок Чорнобильської катастрофи, віднесених до категор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ії 1, 2,3 та потерпілих дітей,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шляхом відшкодування аптечним установам вартості ліків, які надані б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езоплатно за рецептами лікарів та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відшкодування витрат, пов’язаних із наданням зубопротезування 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стоматологічній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поліклініці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, за рахунок коштів бюджету Могилів-Подільської міської територіальної громади Могилів-Подільського району Вінницької області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обласного бюджету.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1.2.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 громадян, які постраждали внаслідок Чорнобильської катаст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рофи, та перебувають на обліку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в управлінні праці та соціального захисту населення Могилів-Подільської міс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ької ради (далі – Управління)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в Єдиному державному автоматизованому реєстрі осіб, які мають право на пільги, а саме право на забезпечення безкоштовними ліками та безкоштовним зубопротезуванням згідно із зазначеним Порядком, належать:</w:t>
      </w:r>
    </w:p>
    <w:p w:rsidR="00E038A3" w:rsidRPr="00A71DE5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громадяни, які постраждали внаслідок Чорнобильської катастрофи, віднесені до категорії 1, 2,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потерпілі діти. 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безкоштовними ліками та безкоштовним зубопротез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уванням постраждалих внаслідок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аварії на ЧАЕС, віднесених до категорії 3, та потерпілих дітей (за винятком дітей з інвалідніс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>тю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), проводиться за умови, якщо розмір середньомісячного сукупного доходу їх сім'ї в розрахунку на одну особу за попередні шість місяців не перевищив величини доходу, який дає право на податкову соціальну пільгу. Визначення права зазначеної категорії пільговиків з урахуванням середньомісячного сукупног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 доходу їх сімей на одержання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відповідних пільг проводиться Управлінням за механізмом визначеним у Порядку надання пільг окремим категоріям громадян з урахуванням середньомісячного сукупного доходу сім’ї, який затверджено постановою Кабінету Міністрі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>в України від 04.06.2015 року №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389 «Про затвердження Порядку надання пільг окремим категоріям громадян з урахуванням сер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>едньомісячного сукупного доходу» (зі змінами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 (далі – Постанова). В разі, якщо громадянин, який постраждав внаслідок Чорнобильської катастрофи, отримав право на одержання пільг, які надаються з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урахуванням доходу, в тому числі на безоплатне одержання ліків та на безкоштовне зубопротезування, Управління видає йому згідно Постанови довідку про право на отримання пільг, що надаються з урахуванням середньомісячного сукупн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ого доходу сім’ї, терміном дії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дванадц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ять місяців. Після закінчення дванадцяти місяців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Управління визначає право пільговика на отримання пільги на наступний період у Порядку згідно з вищезазначеною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остановою.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1.3.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Головним розпорядником коштів на здійснення видатків на забезпечення безкоштовними ліками громадян, які постраждали внаслідок Чорнобильської катастрофи, 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іднесених до категорії 1, 2, 3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потерпілих дітей є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Управління.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1.4.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Послуги із заб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езпечення безкоштовними ліками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та безкоштовн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>им зубопротезуванням громадянам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, які постраждали внаслідок Чорнобильської катастрофи, надає аптечна установа,</w:t>
      </w:r>
      <w:r w:rsidR="00432EF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яка</w:t>
      </w:r>
      <w:r w:rsidRPr="00DF6E6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визначена на підставі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рішення  виконавчого комітету </w:t>
      </w:r>
      <w:r w:rsidRPr="00DF6E6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Могилів-Подільсько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ї міської ради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стоматологічна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поліклініка, з якими укладено відповідний договір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(далі – Договір). </w:t>
      </w:r>
    </w:p>
    <w:p w:rsidR="00E038A3" w:rsidRPr="00DF6E67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Default="00E038A3" w:rsidP="00E038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IІ. 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ЗАБЕЗПЕЧЕННЯ БЕЗКОШТОВНИМИ ЛІКАМИ ГРОМАДЯН, </w:t>
      </w:r>
    </w:p>
    <w:p w:rsidR="00432EF2" w:rsidRDefault="00432EF2" w:rsidP="00E038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</w:t>
      </w:r>
      <w:r w:rsidR="00E038A3"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ЯКІ ПОСТРАЖДАЛИ ВНАСЛІДОК ЧОРНОБИЛЬСЬКОЇ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</w:t>
      </w:r>
    </w:p>
    <w:p w:rsidR="00E038A3" w:rsidRPr="00DF6E67" w:rsidRDefault="00432EF2" w:rsidP="00E038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</w:t>
      </w:r>
      <w:r w:rsidR="00E038A3"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КАТАСТРОФИ</w:t>
      </w:r>
    </w:p>
    <w:p w:rsidR="00E038A3" w:rsidRPr="00DF6E67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2.1.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отримання безкоштовних ліків за рахунок коштів бюджету Могилів-Подільської міської територіальної громади Могилів-Подільського району Вінницької області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та обласного бюджету громадяни, які постраждали внаслідок Чорнобильської катастрофи, наведені в пункті 1.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даного Порядку, отримують в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Управлінні довідку про те, що вони включені до Єдиного автоматизованого реєстру осіб, які мають право на</w:t>
      </w:r>
      <w:r w:rsidR="00251C5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пільги. Крім того, громадянам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віднесених до категорії 3, та потерпілим дітям видається довідка про право на отримання пільг, що надаються з урахуванням середньомісячного сукупного доходу сім’ї.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2.2.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Заклади охорони здоров'я Могилів-Подільської міської територіальної громади Могилів-Подільсь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кого району Вінницької області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в уста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новленому порядку на підставі: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посвідчення учасника ліквідації наслідків аварії </w:t>
      </w:r>
      <w:r w:rsidR="00251C5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Чорнобильській АЕС,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або посвідчення особи, яка постраждала внаслі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док Чорнобильської катастрофи,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або посвідчення дитини, яка потерпіла від Чорнобильської катастрофи, та на підставі довідок, вказаних в пункті 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2.1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виписують вищезазначеним громадянам безкоштовні рецепти на ліки на рецептурних бланках форми №1, затвердженої наказом Міністерства охорони здоров’я </w:t>
      </w:r>
      <w:r w:rsidR="00251C5D">
        <w:rPr>
          <w:rFonts w:ascii="Times New Roman" w:eastAsia="Times New Roman" w:hAnsi="Times New Roman"/>
          <w:sz w:val="28"/>
          <w:szCs w:val="28"/>
          <w:lang w:val="uk-UA" w:eastAsia="uk-UA"/>
        </w:rPr>
        <w:t>України від 19.07.2005р. №360 «</w:t>
      </w:r>
      <w:r w:rsidRPr="00DF6E6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uk-UA"/>
        </w:rPr>
        <w:t>Про затвердження Правил виписування рецептів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підрозділів, Інструкції про порядок зберігання, обліку та знищення рецептурних бланків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2.3.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Аптечна</w:t>
      </w:r>
      <w:r w:rsidR="00251C5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установа безоплатно відпускає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в аптечній мережі за зверненням громадян, які постраждали внаслідок Чорнобильської катастрофи, категор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ії яких зазначені в пункті 1.2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даного Порядку, ліки згідно рецепту, засвідченого необхідними підписами та завіреного печаткою медичного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закладу, в межах загальної суми, що підлягає відшкодуванню згідно укладеного з Управлінням Договору.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2.4.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Щомісячно, до 05 числа місяця, що настає за звітним аптечн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 установа, складає </w:t>
      </w:r>
      <w:r w:rsidR="00251C5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подає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до Управління реєстр про кількість і вартість відпущених безоплатних рецептів громадянам, які постраждали внаслідок Чорнобильської катастрофи, віднесених до категорії 1, 2, 3 та потерпілих дітей (далі – Реєстр рецептів)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2.5.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Управління щомісяця звіряє інформацію щодо осіб пільговик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ів, яка надходить від аптечної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установи в Реєстрах рецептів, з даними, що містяться в Єдиному державному автоматизованому реєстрі осіб, які мають право на пільги. У разі виявлення розбіжностей управління праці 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соціального захисту населення міської </w:t>
      </w:r>
      <w:proofErr w:type="spellStart"/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ради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виключає</w:t>
      </w:r>
      <w:proofErr w:type="spellEnd"/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Реєстру рецептів вартість лікарських засобів, виданих громадянам, щодо яких встановлені розбіжності, про що протягом 5 робочих днів повідомляє аптечну установу.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2.6.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Відшкодування аптечній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установі вартості ліків, які надані безоплатно за рецептами лікарів, громадянам, які постраждали внаслідок Чорнобильської катастрофи, здійснює Управління за рахунок бюджету Могилів-Подільської міської територіальної громади Могилів-Подільського району Вінницької області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обласного бюджету в межах сум, передбачених  на відповідний рік, на підставі укладеного з аптечною установою Договору та отриманих від 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аптечної установи на відшкодування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реєстрів пільгових  рецептів.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2.7.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Управління щомісячно, до 07 числа наступного місяця за звітним, після о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тримання від аптечної установи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документ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ів, зазначених в підпунктах 2.4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проводить реєстрацію зобов’язань у порядку, визначеному Державною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казначейською службою України.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2.8.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Подає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фінансово-економічному управлінню Могилів-Подільської міської ради заявку на фінансування видатків на надання пільг на медичне обслуговування громадянам, які постраждали внаслідок Чорнобильської катастрофи, за рахунок бюджету Могилів-Подільської міської територіальної громади Могилів-Подільського району Вінницької області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та обласного бюджету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2.9.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Фінансово-економічне  уп</w:t>
      </w:r>
      <w:r w:rsidR="00432E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равління Могилів – Подільської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міської ради здійснює перерахування коштів на рахунок Управління, що відкритий в органах Державної казначейської служби України, в межах сум передбачених  на відповідний рік.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2.10.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Управління протягом 2-х операційних днів після отримання фінансування на підставі належно оформлених документів здійснює розрахунки з аптечною установою щодо відшкодування вартості ліків, які надані безоплатно за рецептами лікарів, громадянам, які постраждали внаслідок Чорнобильської катастрофи.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Default="00E038A3" w:rsidP="00E038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</w:t>
      </w:r>
      <w:r w:rsidRPr="00DF6E67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III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 ЗАБЕЗПЕЧЕННЯ БЕЗКОШТОВНИМ ЗУБОПРОТЕЗУВАННЯМ ГРОМАДЯН, ЯКІ ПОСТРАЖДАЛИ ВНАСЛІДОК ЧОРНОБИЛЬСЬКОЇ КАТАСТРОФИ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3.1.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отримання безкоштовного зубопротезування за рахунок коштів 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бюджету громади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обласного бюджет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громадяни, які постраждали внаслідок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Чорнобильської ка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тастрофи, наведені в пункті 1.2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даного Поря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дку, отримують в  Управлінні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довідку про те, що вони включені до Єдиного автоматизованого реєстру осіб, які мають право на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пільги. Крім того, громадянам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віднесених до категорії 3, та потерпілим дітям видається довідка про право на отримання пільг, що надаються з урахуванням середньомісячного сукупного доходу сім’ї.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3.2.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Стоматологічна поліклініка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в установленому порядку на підставі:  посвідчення учасника ліквідації наслідків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аварії на Чорнобильській АЕС,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або посвідчення особи, яка постраждала внаслідок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Чорнобильської катастрофи,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або посвідчення дитини, яка потерпіла від Чорнобильської катастрофи, та на підставі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довідок, вказаних в пункті 2.1, виписують вищезазначеним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категоріям наряд про запропонований план ортопедичного лікування, в якому  зазначається прізвище, ім’я та по-батькові, категорія та номер посвідчення постраждалої особи, сума витрат на відшкодування безкоштовного зубопротезування.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3.3.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Стоматологічна поліклініка на підставі наряду надає розрахунок видатків, пов’язаних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із наданням зубопротезування (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за винятком зубопротезування із дорогоцінних металів та прирівняних по вартості до них, що визначається Міністерством охорони здоров’я Украї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ни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) засвідчений  необ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хідними підписами та завірений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печаткою медичного закладу, в межах загальної суми, що підлягає відшкодуванню згідно укладеного з Управлінням Договору.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3.4.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Щомісячно, до 05 числ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 місяця, що настає за звітним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стоматологічна поліклініка в разі звернення громадян, які постраждали внаслідок Чорнобильської катастрофи про надання даної послуги ск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ладає та подає до Управління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розрахунок видатків.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3.5.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Управління щомісяця звіряє інформацію щодо осіб пільговиків, яка надходить від медичн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ої установи в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розрахунку з даними, що містяться в Єдиному державному автоматизованому реєстрі осіб, які мають право на пільги.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3.6.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Відшкодування стоматологічній поліклініці видатків на безкоштовне зубопротезування громадянам, які постраждали внаслідок Чорнобильської катастрофи, здійснює Управління за рахунок коштів бюджету Могилів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-Подільської</w:t>
      </w:r>
      <w:proofErr w:type="spellEnd"/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міської територіальної громади Могилів-Подільського району Вінницької області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обласного бюджету в межах сум, передбачених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на відповідний рік, на підставі укла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деного з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установою Договору та отриманих від неї розрахунків. 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</w:t>
      </w: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3.7.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Управління щомісячно, до 07 числа наступного місяця за звітним, після отримання в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ід стоматологічної поліклініки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документ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ів, зазначених в підпунктах 3.4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проводить реєстрацію зобов’язань у порядку, визначеному Державно</w:t>
      </w:r>
      <w:r w:rsidR="00833C70">
        <w:rPr>
          <w:rFonts w:ascii="Times New Roman" w:eastAsia="Times New Roman" w:hAnsi="Times New Roman"/>
          <w:sz w:val="28"/>
          <w:szCs w:val="28"/>
          <w:lang w:val="uk-UA" w:eastAsia="uk-UA"/>
        </w:rPr>
        <w:t>ю казначейською службою України.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E038A3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3.8.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Подає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фін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ансово-економічному управлінню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ради заявку на фінансування видатків на надання пільг на медичне обслуговування громадянам, які постраждали внаслідок Чорнобильської катастрофи, за рахунок бюджету Могилів-Подільської міської територіальної громади Могилів-Подільського району Вінницької області</w:t>
      </w:r>
      <w:r w:rsidRPr="00DF6E6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та обласного бюджету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038A3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3.9.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Фінансово-економічне уп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равління Могилів – Подільської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міської ради здійснює перерахування коштів на рахунок Управління, що відкритий в органах Державної казначейської служби України, в межах сум передбачених  на відповідний рік. </w:t>
      </w:r>
    </w:p>
    <w:p w:rsidR="00E038A3" w:rsidRPr="00DF6E67" w:rsidRDefault="00E038A3" w:rsidP="00E038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38A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3.10.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Управління </w:t>
      </w:r>
      <w:r w:rsidRPr="00DF6E67">
        <w:rPr>
          <w:rFonts w:ascii="Times New Roman" w:eastAsia="Times New Roman" w:hAnsi="Times New Roman"/>
          <w:sz w:val="28"/>
          <w:szCs w:val="28"/>
          <w:lang w:val="uk-UA" w:eastAsia="uk-UA"/>
        </w:rPr>
        <w:t>протягом 2-х операційних днів після отримання фінансування на підставі належно оформлених документів здійснює розрахунки з медичною установою щодо відшкодування видатків на безкоштовне зубопротезування громадянам, які постраждали внаслідок Чорнобильської катастрофи.</w:t>
      </w:r>
    </w:p>
    <w:p w:rsidR="00E038A3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Pr="00DF6E67" w:rsidRDefault="00E038A3" w:rsidP="00E03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Pr="00ED5ACB" w:rsidRDefault="00E038A3" w:rsidP="00E038A3">
      <w:pPr>
        <w:tabs>
          <w:tab w:val="left" w:pos="84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5ACB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ED5ACB">
        <w:rPr>
          <w:rFonts w:ascii="Times New Roman" w:hAnsi="Times New Roman"/>
          <w:sz w:val="28"/>
          <w:szCs w:val="28"/>
          <w:lang w:val="uk-UA"/>
        </w:rPr>
        <w:t>Володимир ВЕРБОВИЙ</w:t>
      </w:r>
    </w:p>
    <w:p w:rsidR="00E038A3" w:rsidRPr="00DF6E67" w:rsidRDefault="00E038A3" w:rsidP="00E0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E03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38A3" w:rsidRDefault="00E038A3" w:rsidP="00A61ACC">
      <w:pPr>
        <w:spacing w:after="0" w:line="240" w:lineRule="auto"/>
        <w:rPr>
          <w:lang w:val="uk-UA"/>
        </w:rPr>
      </w:pPr>
    </w:p>
    <w:sectPr w:rsidR="00E038A3" w:rsidSect="00961DCF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44" w:rsidRDefault="002E4244" w:rsidP="00787AC6">
      <w:pPr>
        <w:spacing w:after="0" w:line="240" w:lineRule="auto"/>
      </w:pPr>
      <w:r>
        <w:separator/>
      </w:r>
    </w:p>
  </w:endnote>
  <w:endnote w:type="continuationSeparator" w:id="0">
    <w:p w:rsidR="002E4244" w:rsidRDefault="002E4244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44" w:rsidRDefault="002E4244" w:rsidP="00787AC6">
      <w:pPr>
        <w:spacing w:after="0" w:line="240" w:lineRule="auto"/>
      </w:pPr>
      <w:r>
        <w:separator/>
      </w:r>
    </w:p>
  </w:footnote>
  <w:footnote w:type="continuationSeparator" w:id="0">
    <w:p w:rsidR="002E4244" w:rsidRDefault="002E4244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AFB0A9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4FC9"/>
    <w:rsid w:val="0001272D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D281A"/>
    <w:rsid w:val="000D6ABA"/>
    <w:rsid w:val="000E1682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A16D1"/>
    <w:rsid w:val="001A20E3"/>
    <w:rsid w:val="001A31E1"/>
    <w:rsid w:val="001B7B71"/>
    <w:rsid w:val="001C029A"/>
    <w:rsid w:val="001C7FA8"/>
    <w:rsid w:val="002027EF"/>
    <w:rsid w:val="00215057"/>
    <w:rsid w:val="00222C91"/>
    <w:rsid w:val="00230F36"/>
    <w:rsid w:val="002369C2"/>
    <w:rsid w:val="0024243D"/>
    <w:rsid w:val="00246D00"/>
    <w:rsid w:val="00251C5D"/>
    <w:rsid w:val="00296E74"/>
    <w:rsid w:val="002A24E4"/>
    <w:rsid w:val="002B104B"/>
    <w:rsid w:val="002B1B9B"/>
    <w:rsid w:val="002B2296"/>
    <w:rsid w:val="002E4244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DC8"/>
    <w:rsid w:val="0035490D"/>
    <w:rsid w:val="0036085E"/>
    <w:rsid w:val="003642B3"/>
    <w:rsid w:val="00374FE0"/>
    <w:rsid w:val="0038116E"/>
    <w:rsid w:val="00395345"/>
    <w:rsid w:val="003A197E"/>
    <w:rsid w:val="003C3023"/>
    <w:rsid w:val="003C4FE9"/>
    <w:rsid w:val="003D797B"/>
    <w:rsid w:val="00432EF2"/>
    <w:rsid w:val="00436807"/>
    <w:rsid w:val="00437EDF"/>
    <w:rsid w:val="004501C8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23900"/>
    <w:rsid w:val="00633068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5313"/>
    <w:rsid w:val="006D7E26"/>
    <w:rsid w:val="006E1F9D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D7B9B"/>
    <w:rsid w:val="007E1165"/>
    <w:rsid w:val="007E2BF0"/>
    <w:rsid w:val="007E5080"/>
    <w:rsid w:val="00800C29"/>
    <w:rsid w:val="00803254"/>
    <w:rsid w:val="00807ACC"/>
    <w:rsid w:val="008214D3"/>
    <w:rsid w:val="00830E71"/>
    <w:rsid w:val="00832184"/>
    <w:rsid w:val="00833C70"/>
    <w:rsid w:val="00843652"/>
    <w:rsid w:val="00854613"/>
    <w:rsid w:val="0085795B"/>
    <w:rsid w:val="008624AE"/>
    <w:rsid w:val="0086300C"/>
    <w:rsid w:val="00865FC6"/>
    <w:rsid w:val="008872D6"/>
    <w:rsid w:val="00895B28"/>
    <w:rsid w:val="008A0E83"/>
    <w:rsid w:val="008A1BD4"/>
    <w:rsid w:val="008B006D"/>
    <w:rsid w:val="008B0AA0"/>
    <w:rsid w:val="008B305E"/>
    <w:rsid w:val="008D038B"/>
    <w:rsid w:val="008E16D5"/>
    <w:rsid w:val="008F13FA"/>
    <w:rsid w:val="008F4618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61DCF"/>
    <w:rsid w:val="00973461"/>
    <w:rsid w:val="00981D22"/>
    <w:rsid w:val="009855F8"/>
    <w:rsid w:val="009A4621"/>
    <w:rsid w:val="009B1B93"/>
    <w:rsid w:val="009C3A0D"/>
    <w:rsid w:val="009C7669"/>
    <w:rsid w:val="009E351F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1ACC"/>
    <w:rsid w:val="00A63AC4"/>
    <w:rsid w:val="00A71DE5"/>
    <w:rsid w:val="00A761DC"/>
    <w:rsid w:val="00A8129C"/>
    <w:rsid w:val="00A81C13"/>
    <w:rsid w:val="00A83211"/>
    <w:rsid w:val="00A9206F"/>
    <w:rsid w:val="00AA12B3"/>
    <w:rsid w:val="00AC0628"/>
    <w:rsid w:val="00AC15D3"/>
    <w:rsid w:val="00AD1148"/>
    <w:rsid w:val="00AD39E2"/>
    <w:rsid w:val="00AD69E4"/>
    <w:rsid w:val="00AE1383"/>
    <w:rsid w:val="00AF5908"/>
    <w:rsid w:val="00B00A85"/>
    <w:rsid w:val="00B0149C"/>
    <w:rsid w:val="00B02DBF"/>
    <w:rsid w:val="00B04253"/>
    <w:rsid w:val="00B14B8F"/>
    <w:rsid w:val="00B1605A"/>
    <w:rsid w:val="00B21745"/>
    <w:rsid w:val="00B2306A"/>
    <w:rsid w:val="00B30087"/>
    <w:rsid w:val="00B31D39"/>
    <w:rsid w:val="00B321D9"/>
    <w:rsid w:val="00B4317D"/>
    <w:rsid w:val="00B50BF1"/>
    <w:rsid w:val="00B54709"/>
    <w:rsid w:val="00B62DA0"/>
    <w:rsid w:val="00B63E13"/>
    <w:rsid w:val="00B67290"/>
    <w:rsid w:val="00B750BF"/>
    <w:rsid w:val="00B760DD"/>
    <w:rsid w:val="00B77F23"/>
    <w:rsid w:val="00B85AAF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32B7"/>
    <w:rsid w:val="00C34183"/>
    <w:rsid w:val="00C37B4B"/>
    <w:rsid w:val="00C41ABD"/>
    <w:rsid w:val="00C61B67"/>
    <w:rsid w:val="00C63D09"/>
    <w:rsid w:val="00C70B93"/>
    <w:rsid w:val="00C83124"/>
    <w:rsid w:val="00C9669B"/>
    <w:rsid w:val="00CA1165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C30E2"/>
    <w:rsid w:val="00DD3F20"/>
    <w:rsid w:val="00DE5660"/>
    <w:rsid w:val="00DF6E67"/>
    <w:rsid w:val="00E038A3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3501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5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5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AD95-B0A3-4966-BC9C-E38F561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1727</Words>
  <Characters>13196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cp:lastPrinted>2022-06-29T05:48:00Z</cp:lastPrinted>
  <dcterms:created xsi:type="dcterms:W3CDTF">2022-06-22T07:57:00Z</dcterms:created>
  <dcterms:modified xsi:type="dcterms:W3CDTF">2022-07-12T09:45:00Z</dcterms:modified>
</cp:coreProperties>
</file>